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JSZC-320500-JZCG-G2025-0645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苏州市数据局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苏州市政务“一朵云”服务采购</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年01月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5"/>
        <w:ind w:firstLine="0"/>
        <w:jc w:val="left"/>
        <w:spacing w:before="120" w:after="120"/>
        <w:tabs>
          <w:tab w:val="right" w:pos="9856" w:leader="dot"/>
        </w:tabs>
        <w:rPr>
          <w:rStyle w:val="1077"/>
          <w:rFonts w:ascii="宋体" w:hAnsi="宋体" w:cs="Calibri"/>
          <w:bCs/>
          <w:caps/>
          <w:color w:val="auto"/>
          <w:sz w:val="32"/>
          <w:szCs w:val="32"/>
        </w:rPr>
        <w:outlineLvl w:val="9"/>
      </w:pPr>
      <w:r>
        <w:rPr>
          <w:rFonts w:ascii="宋体" w:hAnsi="宋体" w:cs="Calibri"/>
          <w:bCs/>
          <w:caps/>
          <w:color w:val="auto"/>
          <w:sz w:val="32"/>
          <w:szCs w:val="32"/>
        </w:rPr>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rPr>
          <w:rStyle w:val="1077"/>
          <w:rFonts w:ascii="宋体" w:hAnsi="宋体" w:cs="Calibri"/>
          <w:bCs/>
          <w:caps/>
          <w:color w:val="auto"/>
          <w:sz w:val="32"/>
        </w:rPr>
        <w:fldChar w:fldCharType="begin"/>
      </w:r>
      <w:r>
        <w:rPr>
          <w:rStyle w:val="1077"/>
          <w:rFonts w:ascii="宋体" w:hAnsi="宋体" w:cs="Calibri"/>
          <w:bCs/>
          <w:caps/>
          <w:color w:val="auto"/>
          <w:sz w:val="32"/>
        </w:rPr>
        <w:instrText xml:space="preserve"> TOC \o "1-1" \h \z \u </w:instrText>
      </w:r>
      <w:r>
        <w:rPr>
          <w:rStyle w:val="1077"/>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77"/>
          <w:rFonts w:ascii="宋体" w:hAnsi="宋体" w:cs="Calibri"/>
          <w:bCs/>
          <w:caps/>
          <w:color w:val="auto"/>
          <w:sz w:val="32"/>
          <w:szCs w:val="32"/>
        </w:rPr>
        <w:t xml:space="preserve">第一章 投标邀请函</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_Toc105397776 \h </w:instrText>
      </w:r>
      <w:r>
        <w:rPr>
          <w:rStyle w:val="1077"/>
          <w:rFonts w:ascii="宋体" w:hAnsi="宋体" w:cs="Calibri"/>
          <w:bCs/>
          <w:caps/>
          <w:color w:val="auto"/>
          <w:sz w:val="32"/>
          <w:szCs w:val="32"/>
        </w:rPr>
        <w:fldChar w:fldCharType="separate"/>
      </w:r>
      <w:r>
        <w:rPr>
          <w:rStyle w:val="1077"/>
          <w:rFonts w:ascii="宋体" w:hAnsi="宋体" w:cs="Calibri"/>
          <w:bCs/>
          <w:caps/>
          <w:color w:val="auto"/>
          <w:sz w:val="32"/>
          <w:szCs w:val="32"/>
        </w:rPr>
        <w:t xml:space="preserve">5</w:t>
      </w:r>
      <w:r>
        <w:rPr>
          <w:rStyle w:val="1077"/>
          <w:rFonts w:ascii="宋体" w:hAnsi="宋体" w:cs="Calibri"/>
          <w:bCs/>
          <w:caps/>
          <w:color w:val="auto"/>
          <w:sz w:val="32"/>
          <w:szCs w:val="32"/>
        </w:rPr>
        <w:fldChar w:fldCharType="end"/>
      </w:r>
      <w:r>
        <w:rPr>
          <w:rStyle w:val="1077"/>
          <w:rFonts w:ascii="宋体" w:hAnsi="宋体" w:cs="Calibri"/>
          <w:bCs/>
          <w:caps/>
          <w:color w:val="auto"/>
          <w:sz w:val="32"/>
          <w:szCs w:val="32"/>
        </w:rPr>
        <w:fldChar w:fldCharType="end"/>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77"/>
          <w:rFonts w:ascii="宋体" w:hAnsi="宋体" w:cs="Calibri"/>
          <w:bCs/>
          <w:caps/>
          <w:color w:val="auto"/>
          <w:sz w:val="32"/>
          <w:szCs w:val="32"/>
        </w:rPr>
        <w:t xml:space="preserve">第二章 投标人须知</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_Toc105397777 \h </w:instrText>
      </w:r>
      <w:r>
        <w:rPr>
          <w:rStyle w:val="1077"/>
          <w:rFonts w:ascii="宋体" w:hAnsi="宋体" w:cs="Calibri"/>
          <w:bCs/>
          <w:caps/>
          <w:color w:val="auto"/>
          <w:sz w:val="32"/>
          <w:szCs w:val="32"/>
        </w:rPr>
        <w:fldChar w:fldCharType="separate"/>
      </w:r>
      <w:r>
        <w:rPr>
          <w:rStyle w:val="1077"/>
          <w:rFonts w:ascii="宋体" w:hAnsi="宋体" w:cs="Calibri"/>
          <w:bCs/>
          <w:caps/>
          <w:color w:val="auto"/>
          <w:sz w:val="32"/>
          <w:szCs w:val="32"/>
        </w:rPr>
        <w:t xml:space="preserve">8</w:t>
      </w:r>
      <w:r>
        <w:rPr>
          <w:rStyle w:val="1077"/>
          <w:rFonts w:ascii="宋体" w:hAnsi="宋体" w:cs="Calibri"/>
          <w:bCs/>
          <w:caps/>
          <w:color w:val="auto"/>
          <w:sz w:val="32"/>
          <w:szCs w:val="32"/>
        </w:rPr>
        <w:fldChar w:fldCharType="end"/>
      </w:r>
      <w:r>
        <w:rPr>
          <w:rStyle w:val="1077"/>
          <w:rFonts w:ascii="宋体" w:hAnsi="宋体" w:cs="Calibri"/>
          <w:bCs/>
          <w:caps/>
          <w:color w:val="auto"/>
          <w:sz w:val="32"/>
          <w:szCs w:val="32"/>
        </w:rPr>
        <w:fldChar w:fldCharType="end"/>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77"/>
          <w:rFonts w:ascii="宋体" w:hAnsi="宋体" w:cs="Calibri"/>
          <w:bCs/>
          <w:caps/>
          <w:color w:val="auto"/>
          <w:sz w:val="32"/>
          <w:szCs w:val="32"/>
        </w:rPr>
        <w:t xml:space="preserve">第三章 投标文件格式</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_Toc105397778 \h </w:instrText>
      </w:r>
      <w:r>
        <w:rPr>
          <w:rStyle w:val="1077"/>
          <w:rFonts w:ascii="宋体" w:hAnsi="宋体" w:cs="Calibri"/>
          <w:bCs/>
          <w:caps/>
          <w:color w:val="auto"/>
          <w:sz w:val="32"/>
          <w:szCs w:val="32"/>
        </w:rPr>
        <w:fldChar w:fldCharType="separate"/>
      </w:r>
      <w:r>
        <w:rPr>
          <w:rStyle w:val="1077"/>
          <w:rFonts w:ascii="宋体" w:hAnsi="宋体" w:cs="Calibri"/>
          <w:bCs/>
          <w:caps/>
          <w:color w:val="auto"/>
          <w:sz w:val="32"/>
          <w:szCs w:val="32"/>
        </w:rPr>
        <w:t xml:space="preserve">20</w:t>
      </w:r>
      <w:r>
        <w:rPr>
          <w:rStyle w:val="1077"/>
          <w:rFonts w:ascii="宋体" w:hAnsi="宋体" w:cs="Calibri"/>
          <w:bCs/>
          <w:caps/>
          <w:color w:val="auto"/>
          <w:sz w:val="32"/>
          <w:szCs w:val="32"/>
        </w:rPr>
        <w:fldChar w:fldCharType="end"/>
      </w:r>
      <w:r>
        <w:rPr>
          <w:rStyle w:val="1077"/>
          <w:rFonts w:ascii="宋体" w:hAnsi="宋体" w:cs="Calibri"/>
          <w:bCs/>
          <w:caps/>
          <w:color w:val="auto"/>
          <w:sz w:val="32"/>
          <w:szCs w:val="32"/>
        </w:rPr>
        <w:fldChar w:fldCharType="end"/>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77"/>
          <w:rFonts w:ascii="宋体" w:hAnsi="宋体" w:cs="Calibri"/>
          <w:bCs/>
          <w:caps/>
          <w:color w:val="auto"/>
          <w:sz w:val="32"/>
          <w:szCs w:val="32"/>
        </w:rPr>
        <w:t xml:space="preserve">第四章 招标书</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_Toc105397793 \h </w:instrText>
      </w:r>
      <w:r>
        <w:rPr>
          <w:rStyle w:val="1077"/>
          <w:rFonts w:ascii="宋体" w:hAnsi="宋体" w:cs="Calibri"/>
          <w:bCs/>
          <w:caps/>
          <w:color w:val="auto"/>
          <w:sz w:val="32"/>
          <w:szCs w:val="32"/>
        </w:rPr>
        <w:fldChar w:fldCharType="separate"/>
      </w:r>
      <w:r>
        <w:rPr>
          <w:rStyle w:val="1077"/>
          <w:rFonts w:ascii="宋体" w:hAnsi="宋体" w:cs="Calibri"/>
          <w:bCs/>
          <w:caps/>
          <w:color w:val="auto"/>
          <w:sz w:val="32"/>
          <w:szCs w:val="32"/>
        </w:rPr>
        <w:t xml:space="preserve">32</w:t>
      </w:r>
      <w:r>
        <w:rPr>
          <w:rStyle w:val="1077"/>
          <w:rFonts w:ascii="宋体" w:hAnsi="宋体" w:cs="Calibri"/>
          <w:bCs/>
          <w:caps/>
          <w:color w:val="auto"/>
          <w:sz w:val="32"/>
          <w:szCs w:val="32"/>
        </w:rPr>
        <w:fldChar w:fldCharType="end"/>
      </w:r>
      <w:r>
        <w:rPr>
          <w:rStyle w:val="1077"/>
          <w:rFonts w:ascii="宋体" w:hAnsi="宋体" w:cs="Calibri"/>
          <w:bCs/>
          <w:caps/>
          <w:color w:val="auto"/>
          <w:sz w:val="32"/>
          <w:szCs w:val="32"/>
        </w:rPr>
        <w:fldChar w:fldCharType="end"/>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77"/>
          <w:rFonts w:ascii="宋体" w:hAnsi="宋体" w:cs="Calibri"/>
          <w:bCs/>
          <w:caps/>
          <w:color w:val="auto"/>
          <w:sz w:val="32"/>
          <w:szCs w:val="32"/>
        </w:rPr>
        <w:t xml:space="preserve">第五章 合同及主要条款</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_Toc105397794 \h </w:instrText>
      </w:r>
      <w:r>
        <w:rPr>
          <w:rStyle w:val="1077"/>
          <w:rFonts w:ascii="宋体" w:hAnsi="宋体" w:cs="Calibri"/>
          <w:bCs/>
          <w:caps/>
          <w:color w:val="auto"/>
          <w:sz w:val="32"/>
          <w:szCs w:val="32"/>
        </w:rPr>
        <w:fldChar w:fldCharType="separate"/>
      </w:r>
      <w:r>
        <w:rPr>
          <w:rStyle w:val="1077"/>
          <w:rFonts w:ascii="宋体" w:hAnsi="宋体" w:cs="Calibri"/>
          <w:bCs/>
          <w:caps/>
          <w:color w:val="auto"/>
          <w:sz w:val="32"/>
          <w:szCs w:val="32"/>
        </w:rPr>
        <w:t xml:space="preserve">87</w:t>
      </w:r>
      <w:r>
        <w:rPr>
          <w:rStyle w:val="1077"/>
          <w:rFonts w:ascii="宋体" w:hAnsi="宋体" w:cs="Calibri"/>
          <w:bCs/>
          <w:caps/>
          <w:color w:val="auto"/>
          <w:sz w:val="32"/>
          <w:szCs w:val="32"/>
        </w:rPr>
        <w:fldChar w:fldCharType="end"/>
      </w:r>
      <w:r>
        <w:rPr>
          <w:rStyle w:val="1077"/>
          <w:rFonts w:ascii="宋体" w:hAnsi="宋体" w:cs="Calibri"/>
          <w:bCs/>
          <w:caps/>
          <w:color w:val="auto"/>
          <w:sz w:val="32"/>
          <w:szCs w:val="32"/>
        </w:rPr>
        <w:fldChar w:fldCharType="end"/>
      </w:r>
      <w:r/>
    </w:p>
    <w:p>
      <w:pPr>
        <w:pStyle w:val="1045"/>
        <w:ind w:firstLine="0"/>
        <w:jc w:val="left"/>
        <w:spacing w:before="120" w:after="120"/>
        <w:tabs>
          <w:tab w:val="right" w:pos="9854" w:leader="dot"/>
        </w:tabs>
        <w:rPr>
          <w:rStyle w:val="1077"/>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77"/>
          <w:rFonts w:ascii="宋体" w:hAnsi="宋体" w:cs="Calibri"/>
          <w:bCs/>
          <w:caps/>
          <w:color w:val="auto"/>
          <w:sz w:val="32"/>
          <w:szCs w:val="32"/>
        </w:rPr>
        <w:t xml:space="preserve">第六章 评标办法和评分标准</w:t>
      </w:r>
      <w:r>
        <w:rPr>
          <w:rStyle w:val="1077"/>
          <w:rFonts w:ascii="宋体" w:hAnsi="宋体" w:cs="Calibri"/>
          <w:bCs/>
          <w:caps/>
          <w:color w:val="auto"/>
          <w:sz w:val="32"/>
          <w:szCs w:val="32"/>
        </w:rPr>
        <w:tab/>
      </w:r>
      <w:r>
        <w:rPr>
          <w:rStyle w:val="1077"/>
          <w:rFonts w:ascii="宋体" w:hAnsi="宋体" w:cs="Calibri"/>
          <w:bCs/>
          <w:caps/>
          <w:color w:val="auto"/>
          <w:sz w:val="32"/>
          <w:szCs w:val="32"/>
        </w:rPr>
        <w:fldChar w:fldCharType="begin"/>
      </w:r>
      <w:r>
        <w:rPr>
          <w:rStyle w:val="1077"/>
          <w:rFonts w:ascii="宋体" w:hAnsi="宋体" w:cs="Calibri"/>
          <w:bCs/>
          <w:caps/>
          <w:color w:val="auto"/>
          <w:sz w:val="32"/>
          <w:szCs w:val="32"/>
        </w:rPr>
        <w:instrText xml:space="preserve"> PAGEREF _Toc105397795 \h </w:instrText>
      </w:r>
      <w:r>
        <w:rPr>
          <w:rStyle w:val="1077"/>
          <w:rFonts w:ascii="宋体" w:hAnsi="宋体" w:cs="Calibri"/>
          <w:bCs/>
          <w:caps/>
          <w:color w:val="auto"/>
          <w:sz w:val="32"/>
          <w:szCs w:val="32"/>
        </w:rPr>
        <w:fldChar w:fldCharType="separate"/>
      </w:r>
      <w:r>
        <w:rPr>
          <w:rStyle w:val="1077"/>
          <w:rFonts w:ascii="宋体" w:hAnsi="宋体" w:cs="Calibri"/>
          <w:bCs/>
          <w:caps/>
          <w:color w:val="auto"/>
          <w:sz w:val="32"/>
          <w:szCs w:val="32"/>
        </w:rPr>
        <w:t xml:space="preserve">91</w:t>
      </w:r>
      <w:r>
        <w:rPr>
          <w:rStyle w:val="1077"/>
          <w:rFonts w:ascii="宋体" w:hAnsi="宋体" w:cs="Calibri"/>
          <w:bCs/>
          <w:caps/>
          <w:color w:val="auto"/>
          <w:sz w:val="32"/>
          <w:szCs w:val="32"/>
        </w:rPr>
        <w:fldChar w:fldCharType="end"/>
      </w:r>
      <w:r>
        <w:rPr>
          <w:rStyle w:val="1077"/>
          <w:rFonts w:ascii="宋体" w:hAnsi="宋体" w:cs="Calibri"/>
          <w:bCs/>
          <w:caps/>
          <w:color w:val="auto"/>
          <w:sz w:val="32"/>
          <w:szCs w:val="32"/>
        </w:rPr>
        <w:fldChar w:fldCharType="end"/>
      </w:r>
      <w:r/>
    </w:p>
    <w:p>
      <w:pPr>
        <w:pStyle w:val="1045"/>
        <w:ind w:firstLine="0"/>
        <w:jc w:val="left"/>
        <w:spacing w:before="120" w:after="120"/>
        <w:tabs>
          <w:tab w:val="right" w:pos="9856" w:leader="dot"/>
        </w:tabs>
        <w:rPr>
          <w:rFonts w:ascii="宋体" w:hAnsi="宋体"/>
          <w:sz w:val="32"/>
          <w:szCs w:val="32"/>
        </w:rPr>
        <w:outlineLvl w:val="9"/>
      </w:pPr>
      <w:r>
        <w:rPr>
          <w:rStyle w:val="107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Style w:val="102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JSZC-320500-JZCG-G2025-0645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苏州市政务“一朵云”服务采购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地址：苏州高新区邓尉路105号狮山科技馆7楼</w:t>
            </w:r>
            <w:r/>
          </w:p>
          <w:p>
            <w:pPr>
              <w:ind w:left="0"/>
              <w:jc w:val="left"/>
              <w:spacing w:line="440" w:lineRule="exact"/>
              <w:rPr>
                <w:rFonts w:ascii="宋体" w:hAnsi="宋体"/>
                <w:sz w:val="21"/>
                <w:szCs w:val="21"/>
              </w:rPr>
            </w:pPr>
            <w:r>
              <w:rPr>
                <w:rFonts w:hint="eastAsia" w:ascii="宋体" w:hAnsi="宋体"/>
                <w:sz w:val="21"/>
                <w:szCs w:val="21"/>
              </w:rPr>
              <w:t xml:space="preserve">联系人: 谷工、严工</w:t>
            </w:r>
            <w:r/>
          </w:p>
          <w:p>
            <w:pPr>
              <w:ind w:left="0"/>
              <w:jc w:val="left"/>
              <w:spacing w:line="440" w:lineRule="exact"/>
              <w:rPr>
                <w:rFonts w:ascii="宋体" w:hAnsi="宋体"/>
                <w:sz w:val="21"/>
                <w:szCs w:val="21"/>
              </w:rPr>
            </w:pPr>
            <w:r>
              <w:rPr>
                <w:rFonts w:hint="eastAsia" w:ascii="宋体" w:hAnsi="宋体"/>
                <w:sz w:val="21"/>
                <w:szCs w:val="21"/>
              </w:rPr>
              <w:t xml:space="preserve">联系电话：0512-69820921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名称：苏州市数据局</w:t>
            </w:r>
            <w:r/>
          </w:p>
          <w:p>
            <w:pPr>
              <w:ind w:left="0"/>
              <w:jc w:val="left"/>
              <w:spacing w:line="440" w:lineRule="exact"/>
              <w:rPr>
                <w:rFonts w:ascii="宋体" w:hAnsi="宋体"/>
                <w:sz w:val="21"/>
                <w:szCs w:val="21"/>
              </w:rPr>
            </w:pPr>
            <w:r>
              <w:rPr>
                <w:rFonts w:hint="eastAsia" w:ascii="宋体" w:hAnsi="宋体"/>
                <w:sz w:val="21"/>
                <w:szCs w:val="21"/>
              </w:rPr>
              <w:t xml:space="preserve">地址：苏州市姑苏区平泷路251号</w:t>
            </w:r>
            <w:r/>
          </w:p>
          <w:p>
            <w:pPr>
              <w:ind w:left="0"/>
              <w:jc w:val="left"/>
              <w:spacing w:line="440" w:lineRule="exact"/>
              <w:rPr>
                <w:rFonts w:ascii="宋体" w:hAnsi="宋体"/>
                <w:sz w:val="21"/>
                <w:szCs w:val="21"/>
              </w:rPr>
            </w:pPr>
            <w:r>
              <w:rPr>
                <w:rFonts w:hint="eastAsia" w:ascii="宋体" w:hAnsi="宋体"/>
                <w:sz w:val="21"/>
                <w:szCs w:val="21"/>
              </w:rPr>
              <w:t xml:space="preserve">联系人：徐晓鸣</w:t>
            </w:r>
            <w:r/>
          </w:p>
          <w:p>
            <w:pPr>
              <w:ind w:left="0"/>
              <w:jc w:val="left"/>
              <w:spacing w:line="440" w:lineRule="exact"/>
              <w:rPr>
                <w:rFonts w:ascii="宋体" w:hAnsi="宋体"/>
                <w:sz w:val="21"/>
                <w:szCs w:val="21"/>
              </w:rPr>
            </w:pPr>
            <w:r>
              <w:rPr>
                <w:rFonts w:hint="eastAsia" w:ascii="宋体" w:hAnsi="宋体"/>
                <w:sz w:val="21"/>
                <w:szCs w:val="21"/>
              </w:rPr>
              <w:t xml:space="preserve">联系电话：0512-69820191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7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7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8"/>
        <w:rPr>
          <w:rFonts w:ascii="宋体" w:hAnsi="宋体"/>
        </w:rPr>
      </w:pPr>
      <w:r>
        <w:rPr>
          <w:rFonts w:ascii="宋体" w:hAnsi="宋体"/>
        </w:rPr>
      </w:r>
      <w:r/>
    </w:p>
    <w:p>
      <w:pPr>
        <w:pStyle w:val="103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4"/>
        <w:ind w:left="431" w:firstLine="17"/>
        <w:jc w:val="center"/>
        <w:keepLines w:val="0"/>
        <w:keepNext w:val="0"/>
        <w:spacing w:before="0" w:after="0" w:line="360" w:lineRule="auto"/>
        <w:rPr>
          <w:rFonts w:ascii="宋体" w:hAnsi="宋体" w:eastAsia="宋体" w:cs="宋体"/>
          <w:b/>
          <w:color w:val="auto"/>
          <w:sz w:val="44"/>
          <w:szCs w:val="22"/>
        </w:rPr>
      </w:pPr>
      <w:r/>
      <w:bookmarkStart w:id="5" w:name="_Toc105397776"/>
      <w:r>
        <w:rPr>
          <w:rFonts w:hint="eastAsia" w:ascii="宋体" w:hAnsi="宋体"/>
          <w:b/>
          <w:color w:val="auto"/>
          <w:sz w:val="44"/>
          <w:szCs w:val="22"/>
        </w:rPr>
        <w:br w:type="page" w:clear="all"/>
      </w:r>
      <w:r>
        <w:rPr>
          <w:rFonts w:hint="eastAsia" w:ascii="宋体" w:hAnsi="宋体" w:eastAsia="宋体" w:cs="宋体"/>
          <w:b/>
          <w:color w:val="auto"/>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苏州市政务“一朵云”服务采购</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01</w:t>
      </w:r>
      <w:r>
        <w:rPr>
          <w:rFonts w:hint="eastAsia" w:ascii="宋体" w:hAnsi="宋体"/>
          <w:b/>
          <w:sz w:val="21"/>
          <w:szCs w:val="21"/>
          <w:u w:val="single"/>
        </w:rPr>
        <w:t xml:space="preserve">月</w:t>
      </w:r>
      <w:r>
        <w:rPr>
          <w:rFonts w:ascii="宋体" w:hAnsi="宋体"/>
          <w:b/>
          <w:sz w:val="21"/>
          <w:szCs w:val="21"/>
          <w:u w:val="single"/>
        </w:rPr>
        <w:t xml:space="preserve">27</w:t>
      </w:r>
      <w:r>
        <w:rPr>
          <w:rFonts w:hint="eastAsia" w:ascii="宋体" w:hAnsi="宋体"/>
          <w:b/>
          <w:sz w:val="21"/>
          <w:szCs w:val="21"/>
          <w:u w:val="single"/>
        </w:rPr>
        <w:t xml:space="preserve">日09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3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0"/>
        <w:ind w:left="0" w:firstLine="420"/>
        <w:spacing w:line="360" w:lineRule="auto"/>
        <w:rPr>
          <w:rFonts w:ascii="宋体" w:hAnsi="宋体"/>
          <w:sz w:val="21"/>
          <w:szCs w:val="21"/>
        </w:rPr>
      </w:pPr>
      <w:r>
        <w:rPr>
          <w:rFonts w:hint="eastAsia" w:ascii="宋体" w:hAnsi="宋体"/>
          <w:sz w:val="21"/>
          <w:szCs w:val="21"/>
        </w:rPr>
        <w:t xml:space="preserve">1.项目编号：JSZC-320500-JZCG-G2025-0645</w:t>
      </w:r>
      <w:r/>
    </w:p>
    <w:p>
      <w:pPr>
        <w:pStyle w:val="1030"/>
        <w:ind w:left="0" w:firstLine="420"/>
        <w:spacing w:line="360" w:lineRule="auto"/>
        <w:rPr>
          <w:rFonts w:ascii="宋体" w:hAnsi="宋体"/>
          <w:sz w:val="21"/>
          <w:szCs w:val="21"/>
        </w:rPr>
      </w:pPr>
      <w:r>
        <w:rPr>
          <w:rFonts w:hint="eastAsia" w:ascii="宋体" w:hAnsi="宋体"/>
          <w:sz w:val="21"/>
          <w:szCs w:val="21"/>
        </w:rPr>
        <w:t xml:space="preserve">2.项目名称：苏州市政务“一朵云”服务采购 </w:t>
      </w:r>
      <w:r/>
    </w:p>
    <w:p>
      <w:pPr>
        <w:pStyle w:val="103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0"/>
        <w:ind w:left="0" w:firstLine="420"/>
        <w:spacing w:line="360" w:lineRule="auto"/>
        <w:rPr>
          <w:rFonts w:ascii="宋体" w:hAnsi="宋体"/>
          <w:sz w:val="21"/>
          <w:szCs w:val="21"/>
        </w:rPr>
      </w:pPr>
      <w:r>
        <w:rPr>
          <w:rFonts w:hint="eastAsia" w:ascii="宋体" w:hAnsi="宋体"/>
          <w:sz w:val="21"/>
          <w:szCs w:val="21"/>
        </w:rPr>
        <w:t xml:space="preserve">4.预算金额：人民币贰仟贰佰万元整(￥22000000元) </w:t>
      </w:r>
      <w:r/>
    </w:p>
    <w:p>
      <w:pPr>
        <w:pStyle w:val="1030"/>
        <w:ind w:left="0" w:firstLine="420"/>
        <w:spacing w:line="360" w:lineRule="auto"/>
        <w:rPr>
          <w:rFonts w:ascii="宋体" w:hAnsi="宋体"/>
          <w:sz w:val="21"/>
          <w:szCs w:val="21"/>
        </w:rPr>
      </w:pPr>
      <w:r>
        <w:rPr>
          <w:rFonts w:hint="eastAsia" w:ascii="宋体" w:hAnsi="宋体"/>
          <w:sz w:val="21"/>
          <w:szCs w:val="21"/>
        </w:rPr>
        <w:t xml:space="preserve">5.最高限价：人民币贰仟贰佰万元整(￥22000000元) </w:t>
      </w:r>
      <w:r/>
    </w:p>
    <w:p>
      <w:pPr>
        <w:pStyle w:val="1030"/>
        <w:ind w:left="0" w:firstLine="420"/>
        <w:spacing w:line="360" w:lineRule="auto"/>
        <w:rPr>
          <w:rFonts w:ascii="宋体" w:hAnsi="宋体"/>
          <w:sz w:val="21"/>
          <w:szCs w:val="21"/>
        </w:rPr>
      </w:pPr>
      <w:r>
        <w:rPr>
          <w:rFonts w:hint="eastAsia" w:ascii="宋体" w:hAnsi="宋体"/>
          <w:sz w:val="21"/>
          <w:szCs w:val="21"/>
        </w:rPr>
        <w:t xml:space="preserve">6.合同履行期限：自签订合同之日起一年。 </w:t>
      </w:r>
      <w:r/>
    </w:p>
    <w:p>
      <w:pPr>
        <w:pStyle w:val="1030"/>
        <w:ind w:left="0" w:firstLine="420"/>
        <w:spacing w:line="360" w:lineRule="auto"/>
        <w:rPr>
          <w:rFonts w:ascii="宋体" w:hAnsi="宋体"/>
          <w:sz w:val="21"/>
          <w:szCs w:val="21"/>
        </w:rPr>
      </w:pPr>
      <w:r>
        <w:rPr>
          <w:rFonts w:hint="eastAsia" w:ascii="宋体" w:hAnsi="宋体"/>
          <w:sz w:val="21"/>
          <w:szCs w:val="21"/>
        </w:rPr>
        <w:t xml:space="preserve">7.采购需求：详见采购文件第四章。</w:t>
      </w:r>
      <w:r/>
    </w:p>
    <w:p>
      <w:pPr>
        <w:pStyle w:val="103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3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30"/>
        <w:ind w:left="0" w:firstLine="420"/>
        <w:spacing w:line="360" w:lineRule="auto"/>
        <w:rPr>
          <w:rFonts w:ascii="宋体" w:hAnsi="宋体"/>
          <w:b/>
          <w:bCs/>
          <w:sz w:val="21"/>
          <w:szCs w:val="21"/>
        </w:rPr>
      </w:pPr>
      <w:r>
        <w:rPr>
          <w:rFonts w:hint="eastAsia" w:ascii="宋体" w:hAnsi="宋体"/>
          <w:sz w:val="21"/>
          <w:szCs w:val="21"/>
        </w:rPr>
        <w:t xml:space="preserve">3.本项目的特定资格要求：</w:t>
      </w:r>
      <w:r>
        <w:rPr>
          <w:rFonts w:hint="eastAsia" w:ascii="宋体" w:hAnsi="宋体"/>
          <w:b/>
          <w:bCs/>
          <w:sz w:val="21"/>
          <w:szCs w:val="21"/>
        </w:rPr>
        <w:t xml:space="preserve">投标人需具有有效期内的增值电信业务经营许可证，业务种类需包含互联网数据中心业务（含互联网资源协作服务）和互联网接入服务业务，且两项业务覆盖范围均需包含苏州市。</w:t>
      </w:r>
      <w:r/>
    </w:p>
    <w:p>
      <w:pPr>
        <w:pStyle w:val="103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3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30"/>
        <w:ind w:left="0" w:firstLine="420"/>
        <w:spacing w:line="360" w:lineRule="auto"/>
        <w:rPr>
          <w:rFonts w:ascii="宋体" w:hAnsi="宋体"/>
          <w:sz w:val="21"/>
          <w:szCs w:val="21"/>
        </w:rPr>
      </w:pPr>
      <w:r>
        <w:rPr>
          <w:rFonts w:hint="eastAsia" w:ascii="宋体" w:hAnsi="宋体"/>
          <w:sz w:val="21"/>
          <w:szCs w:val="21"/>
        </w:rPr>
        <w:t xml:space="preserve">3.方式：</w:t>
      </w:r>
      <w:r/>
    </w:p>
    <w:p>
      <w:pPr>
        <w:pStyle w:val="103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0"/>
        <w:ind w:left="0" w:firstLine="420"/>
        <w:spacing w:line="360" w:lineRule="auto"/>
        <w:rPr>
          <w:rFonts w:ascii="宋体" w:hAnsi="宋体"/>
          <w:b/>
          <w:bCs/>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bCs/>
          <w:sz w:val="21"/>
          <w:szCs w:val="21"/>
        </w:rPr>
        <w:t xml:space="preserve">苏州高新区邓尉路105号狮山科技馆</w:t>
      </w:r>
      <w:r>
        <w:rPr>
          <w:rFonts w:ascii="宋体" w:hAnsi="宋体"/>
          <w:b/>
          <w:bCs/>
          <w:sz w:val="21"/>
          <w:szCs w:val="21"/>
        </w:rPr>
        <w:t xml:space="preserve">1</w:t>
      </w:r>
      <w:r>
        <w:rPr>
          <w:rFonts w:hint="eastAsia" w:ascii="宋体" w:hAnsi="宋体"/>
          <w:b/>
          <w:bCs/>
          <w:sz w:val="21"/>
          <w:szCs w:val="21"/>
        </w:rPr>
        <w:t xml:space="preserve">楼服务大厅，咨询电话： 0512-65737699。</w:t>
      </w:r>
      <w:r/>
    </w:p>
    <w:p>
      <w:pPr>
        <w:pStyle w:val="103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3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01</w:t>
      </w:r>
      <w:r>
        <w:rPr>
          <w:rFonts w:hint="eastAsia" w:ascii="宋体" w:hAnsi="宋体" w:cs="Times New Roman"/>
          <w:sz w:val="21"/>
          <w:szCs w:val="21"/>
          <w:u w:val="single"/>
        </w:rPr>
        <w:t xml:space="preserve">月</w:t>
      </w:r>
      <w:r>
        <w:rPr>
          <w:rFonts w:ascii="宋体" w:hAnsi="宋体" w:cs="Times New Roman"/>
          <w:sz w:val="21"/>
          <w:szCs w:val="21"/>
          <w:u w:val="single"/>
        </w:rPr>
        <w:t xml:space="preserve">27</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3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103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3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Style w:val="102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1"/>
              <w:ind w:left="0" w:firstLine="0"/>
              <w:jc w:val="center"/>
              <w:spacing w:line="240" w:lineRule="auto"/>
              <w:rPr>
                <w:rFonts w:ascii="宋体" w:hAnsi="宋体" w:cs="宋体"/>
                <w:b/>
                <w:sz w:val="21"/>
                <w:szCs w:val="21"/>
              </w:rPr>
            </w:pPr>
            <w:r>
              <w:rPr>
                <w:rFonts w:hint="eastAsia" w:ascii="宋体" w:hAnsi="宋体" w:cs="宋体"/>
                <w:b/>
                <w:sz w:val="21"/>
                <w:szCs w:val="21"/>
              </w:rPr>
              <w:t xml:space="preserve">政府采购合同信用融资政策告知函</w:t>
            </w:r>
            <w:r/>
          </w:p>
          <w:p>
            <w:pPr>
              <w:pStyle w:val="1071"/>
              <w:ind w:left="0" w:firstLine="0"/>
              <w:spacing w:line="240" w:lineRule="auto"/>
              <w:rPr>
                <w:rFonts w:ascii="宋体" w:hAnsi="宋体" w:cs="宋体"/>
                <w:b/>
                <w:sz w:val="21"/>
                <w:szCs w:val="21"/>
              </w:rPr>
            </w:pPr>
            <w:r>
              <w:rPr>
                <w:rFonts w:hint="eastAsia" w:ascii="宋体" w:hAnsi="宋体" w:cs="宋体"/>
                <w:b/>
                <w:sz w:val="21"/>
                <w:szCs w:val="21"/>
              </w:rPr>
              <w:t xml:space="preserve">各政府采购供应商：</w:t>
            </w:r>
            <w:r/>
          </w:p>
          <w:p>
            <w:pPr>
              <w:pStyle w:val="1071"/>
              <w:ind w:left="0"/>
              <w:rPr>
                <w:rFonts w:ascii="宋体" w:hAnsi="宋体" w:cs="宋体"/>
                <w:sz w:val="21"/>
                <w:szCs w:val="21"/>
              </w:rPr>
            </w:pPr>
            <w:r>
              <w:rPr>
                <w:rFonts w:hint="eastAsia" w:ascii="宋体" w:hAnsi="宋体" w:cs="宋体"/>
                <w:sz w:val="21"/>
                <w:szCs w:val="21"/>
              </w:rPr>
              <w:t xml:space="preserve">欢迎贵公司参加苏州市政府采购活动！</w:t>
            </w:r>
            <w:r/>
          </w:p>
          <w:p>
            <w:pPr>
              <w:pStyle w:val="1071"/>
              <w:ind w:left="0"/>
              <w:rPr>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3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3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30"/>
        <w:ind w:left="0" w:firstLine="420"/>
        <w:spacing w:line="360" w:lineRule="auto"/>
        <w:rPr>
          <w:rFonts w:ascii="宋体" w:hAnsi="宋体"/>
          <w:sz w:val="21"/>
          <w:szCs w:val="21"/>
        </w:rPr>
      </w:pPr>
      <w:r>
        <w:rPr>
          <w:rFonts w:hint="eastAsia" w:ascii="宋体" w:hAnsi="宋体"/>
          <w:sz w:val="21"/>
          <w:szCs w:val="21"/>
        </w:rPr>
        <w:t xml:space="preserve">名称：苏州市数据局  </w:t>
      </w:r>
      <w:r>
        <w:rPr>
          <w:rFonts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地址：苏州市姑苏区平泷路251号</w:t>
      </w:r>
      <w:r/>
    </w:p>
    <w:p>
      <w:pPr>
        <w:pStyle w:val="1030"/>
        <w:ind w:left="0" w:firstLine="420"/>
        <w:spacing w:line="360" w:lineRule="auto"/>
        <w:rPr>
          <w:rFonts w:ascii="宋体" w:hAnsi="宋体"/>
          <w:sz w:val="21"/>
          <w:szCs w:val="21"/>
        </w:rPr>
      </w:pPr>
      <w:r>
        <w:rPr>
          <w:rFonts w:hint="eastAsia" w:ascii="宋体" w:hAnsi="宋体"/>
          <w:sz w:val="21"/>
          <w:szCs w:val="21"/>
        </w:rPr>
        <w:t xml:space="preserve">联系人：徐晓鸣</w:t>
      </w:r>
      <w:r/>
    </w:p>
    <w:p>
      <w:pPr>
        <w:pStyle w:val="1030"/>
        <w:ind w:left="0" w:firstLine="420"/>
        <w:spacing w:line="360" w:lineRule="auto"/>
        <w:rPr>
          <w:rFonts w:ascii="宋体" w:hAnsi="宋体"/>
          <w:sz w:val="21"/>
          <w:szCs w:val="21"/>
        </w:rPr>
      </w:pPr>
      <w:r>
        <w:rPr>
          <w:rFonts w:hint="eastAsia" w:ascii="宋体" w:hAnsi="宋体"/>
          <w:sz w:val="21"/>
          <w:szCs w:val="21"/>
        </w:rPr>
        <w:t xml:space="preserve">联系方式：0512-69820191 </w:t>
      </w:r>
      <w:r/>
    </w:p>
    <w:p>
      <w:pPr>
        <w:pStyle w:val="103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3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30"/>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苏州高新区邓尉路105号狮山科技馆7楼</w:t>
      </w:r>
      <w:r>
        <w:rPr>
          <w:rFonts w:hint="eastAsia" w:ascii="宋体" w:hAnsi="宋体"/>
          <w:sz w:val="21"/>
          <w:szCs w:val="21"/>
        </w:rPr>
        <w:t xml:space="preserve"> </w:t>
      </w:r>
      <w:r/>
    </w:p>
    <w:p>
      <w:pPr>
        <w:pStyle w:val="1030"/>
        <w:ind w:left="0" w:firstLine="420"/>
        <w:spacing w:line="360" w:lineRule="auto"/>
        <w:rPr>
          <w:rFonts w:ascii="宋体" w:hAnsi="宋体"/>
          <w:sz w:val="21"/>
          <w:szCs w:val="21"/>
        </w:rPr>
      </w:pPr>
      <w:r>
        <w:rPr>
          <w:rFonts w:hint="eastAsia" w:ascii="宋体" w:hAnsi="宋体"/>
          <w:sz w:val="21"/>
          <w:szCs w:val="21"/>
        </w:rPr>
        <w:t xml:space="preserve">联系方式：0512-69820921 </w:t>
      </w:r>
      <w:r/>
    </w:p>
    <w:p>
      <w:pPr>
        <w:pStyle w:val="103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0"/>
        <w:ind w:left="0" w:firstLine="420"/>
        <w:spacing w:line="360" w:lineRule="auto"/>
        <w:rPr>
          <w:rFonts w:ascii="宋体" w:hAnsi="宋体"/>
          <w:sz w:val="21"/>
          <w:szCs w:val="21"/>
        </w:rPr>
      </w:pPr>
      <w:r>
        <w:rPr>
          <w:rFonts w:hint="eastAsia" w:ascii="宋体" w:hAnsi="宋体"/>
          <w:sz w:val="21"/>
          <w:szCs w:val="21"/>
        </w:rPr>
        <w:t xml:space="preserve">项目联系人：谷工、严工 </w:t>
      </w:r>
      <w:r/>
    </w:p>
    <w:p>
      <w:pPr>
        <w:pStyle w:val="1030"/>
        <w:ind w:left="0" w:firstLine="420"/>
        <w:spacing w:line="360" w:lineRule="auto"/>
        <w:rPr>
          <w:rFonts w:ascii="宋体" w:hAnsi="宋体"/>
          <w:sz w:val="21"/>
          <w:szCs w:val="21"/>
        </w:rPr>
      </w:pPr>
      <w:r>
        <w:rPr>
          <w:rFonts w:hint="eastAsia" w:ascii="宋体" w:hAnsi="宋体"/>
          <w:sz w:val="21"/>
          <w:szCs w:val="21"/>
        </w:rPr>
        <w:t xml:space="preserve">电话：0512-69820921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5"/>
      </w:pPr>
      <w:r/>
      <w:r/>
    </w:p>
    <w:p>
      <w:r/>
      <w:r/>
    </w:p>
    <w:p>
      <w:pPr>
        <w:pStyle w:val="1025"/>
      </w:pPr>
      <w:r/>
      <w:r/>
    </w:p>
    <w:p>
      <w:r/>
      <w:r/>
    </w:p>
    <w:p>
      <w:pPr>
        <w:rPr>
          <w:rFonts w:ascii="宋体" w:hAnsi="宋体"/>
          <w:b/>
          <w:sz w:val="44"/>
          <w:szCs w:val="22"/>
        </w:rPr>
      </w:pPr>
      <w:r/>
      <w:bookmarkStart w:id="8" w:name="_Toc105397777"/>
      <w:r/>
      <w:bookmarkStart w:id="9" w:name="_Toc6217"/>
      <w:r/>
      <w:bookmarkStart w:id="10" w:name="_Toc2412"/>
      <w:r>
        <w:rPr>
          <w:rFonts w:ascii="宋体" w:hAnsi="宋体"/>
          <w:b/>
          <w:sz w:val="44"/>
          <w:szCs w:val="22"/>
        </w:rPr>
        <w:br w:type="page" w:clear="all"/>
      </w:r>
      <w:r/>
    </w:p>
    <w:p>
      <w:pPr>
        <w:pStyle w:val="1014"/>
        <w:ind w:left="0"/>
        <w:jc w:val="center"/>
        <w:keepLines w:val="0"/>
        <w:keepNext w:val="0"/>
        <w:spacing w:before="340" w:after="330" w:line="578" w:lineRule="auto"/>
        <w:rPr>
          <w:rFonts w:ascii="宋体" w:hAnsi="宋体" w:eastAsia="宋体" w:cs="宋体"/>
          <w:b/>
          <w:color w:val="auto"/>
          <w:sz w:val="44"/>
          <w:szCs w:val="22"/>
        </w:rPr>
      </w:pPr>
      <w:r>
        <w:rPr>
          <w:rFonts w:ascii="宋体" w:hAnsi="宋体" w:eastAsia="宋体" w:cs="宋体"/>
          <w:b/>
          <w:color w:val="auto"/>
          <w:sz w:val="44"/>
          <w:szCs w:val="22"/>
        </w:rPr>
        <w:t xml:space="preserve">第</w:t>
      </w:r>
      <w:r>
        <w:rPr>
          <w:rFonts w:hint="eastAsia" w:ascii="宋体" w:hAnsi="宋体" w:eastAsia="宋体" w:cs="宋体"/>
          <w:b/>
          <w:color w:val="auto"/>
          <w:sz w:val="44"/>
          <w:szCs w:val="22"/>
        </w:rPr>
        <w:t xml:space="preserve">二</w:t>
      </w:r>
      <w:r>
        <w:rPr>
          <w:rFonts w:ascii="宋体" w:hAnsi="宋体" w:eastAsia="宋体" w:cs="宋体"/>
          <w:b/>
          <w:color w:val="auto"/>
          <w:sz w:val="44"/>
          <w:szCs w:val="22"/>
        </w:rPr>
        <w:t xml:space="preserve">章  </w:t>
      </w:r>
      <w:bookmarkStart w:id="11" w:name="投标人须知"/>
      <w:r/>
      <w:bookmarkEnd w:id="11"/>
      <w:r>
        <w:rPr>
          <w:rFonts w:ascii="宋体" w:hAnsi="宋体" w:eastAsia="宋体" w:cs="宋体"/>
          <w:b/>
          <w:color w:val="auto"/>
          <w:sz w:val="44"/>
          <w:szCs w:val="22"/>
        </w:rPr>
        <w:t xml:space="preserve">投标人须知</w:t>
      </w:r>
      <w:bookmarkEnd w:id="8"/>
      <w:r/>
      <w:bookmarkEnd w:id="9"/>
      <w:r/>
      <w:bookmarkEnd w:id="10"/>
      <w:r/>
      <w:r/>
    </w:p>
    <w:p>
      <w:pPr>
        <w:pStyle w:val="1030"/>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1030"/>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3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3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30"/>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3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3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30"/>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3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3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投标人需具有有效期内的增值电信业务经营许可证，业务种类需包含互联网数据中心业务（含互联网资源协作服务） 和互联网接入服务业务，且两项业务覆盖范围均需包含苏州市。</w:t>
      </w:r>
      <w:r/>
    </w:p>
    <w:p>
      <w:pPr>
        <w:pStyle w:val="106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31958"/>
      <w:r/>
      <w:bookmarkStart w:id="19" w:name="_Toc5764"/>
      <w:r/>
      <w:r/>
    </w:p>
    <w:p>
      <w:pPr>
        <w:pStyle w:val="103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3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3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0"/>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3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3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供应商提交的质疑函必须按照《政府采购供应商质疑函范本》要求的格式和内容进行填写，质疑函范本下载网址详见链接：https：//czju.suzhou.gov.cn/zfcg/html/content/20180305093615738.shtml。</w:t>
      </w:r>
      <w:r/>
    </w:p>
    <w:p>
      <w:pPr>
        <w:ind w:left="0" w:firstLine="420"/>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rPr>
        <w:t xml:space="preserve">，</w:t>
      </w:r>
      <w:bookmarkStart w:id="22" w:name="OLE_LINK38"/>
      <w:r/>
      <w:bookmarkStart w:id="23" w:name="OLE_LINK41"/>
      <w:r/>
      <w:bookmarkStart w:id="24" w:name="OLE_LINK42"/>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供应商营业执照复印件、法定代表人身份证复印件、授权代表身份证复印件（如有）、授权委托书（如有）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3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30"/>
        <w:ind w:left="0" w:firstLine="422"/>
        <w:spacing w:line="360" w:lineRule="auto"/>
        <w:rPr>
          <w:rFonts w:ascii="宋体" w:hAnsi="宋体"/>
          <w:b/>
          <w:sz w:val="21"/>
          <w:szCs w:val="21"/>
        </w:rPr>
      </w:pPr>
      <w:r/>
      <w:bookmarkStart w:id="26" w:name="OLE_LINK33"/>
      <w:r/>
      <w:bookmarkStart w:id="27" w:name="OLE_LINK32"/>
      <w:r/>
      <w:bookmarkStart w:id="28" w:name="OLE_LINK35"/>
      <w:r/>
      <w:bookmarkStart w:id="29" w:name="OLE_LINK22"/>
      <w:r>
        <w:rPr>
          <w:rFonts w:hint="eastAsia" w:ascii="宋体" w:hAnsi="宋体"/>
          <w:b/>
          <w:sz w:val="21"/>
          <w:szCs w:val="21"/>
        </w:rPr>
        <w:t xml:space="preserve">联系电话：0512-69826795</w:t>
      </w:r>
      <w:r/>
    </w:p>
    <w:p>
      <w:pPr>
        <w:pStyle w:val="103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联系地址：苏州高新区邓尉路105号狮山科技馆7楼717室。</w:t>
      </w:r>
      <w:bookmarkEnd w:id="26"/>
      <w:r/>
      <w:bookmarkEnd w:id="27"/>
      <w:r/>
      <w:bookmarkEnd w:id="28"/>
      <w:r/>
      <w:bookmarkEnd w:id="29"/>
      <w:r/>
      <w:r/>
    </w:p>
    <w:p>
      <w:pPr>
        <w:pStyle w:val="103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3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30"/>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14.1.4.</w:t>
      </w:r>
      <w:r>
        <w:rPr>
          <w:rFonts w:ascii="宋体" w:hAnsi="宋体"/>
          <w:b/>
          <w:bCs/>
          <w:sz w:val="21"/>
          <w:szCs w:val="21"/>
        </w:rPr>
        <w:t xml:space="preserve">5</w:t>
      </w:r>
      <w:r>
        <w:rPr>
          <w:rFonts w:hint="eastAsia" w:ascii="宋体" w:hAnsi="宋体"/>
          <w:b/>
          <w:bCs/>
          <w:sz w:val="21"/>
          <w:szCs w:val="21"/>
        </w:rPr>
        <w:t xml:space="preserve">合格投标人资格证明材料：</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2"/>
        <w:spacing w:line="360" w:lineRule="auto"/>
        <w:rPr>
          <w:rFonts w:ascii="宋体" w:hAnsi="宋体"/>
          <w:b/>
          <w:bCs/>
          <w:sz w:val="21"/>
          <w:szCs w:val="21"/>
        </w:rPr>
      </w:pPr>
      <w:r>
        <w:rPr>
          <w:rFonts w:hint="eastAsia" w:ascii="宋体" w:hAnsi="宋体"/>
          <w:b/>
          <w:bCs/>
          <w:sz w:val="21"/>
          <w:szCs w:val="21"/>
        </w:rPr>
        <w:t xml:space="preserve">14.1.4.7投标人需具有有效期内的增值电信业务经营许可证，业务种类需包含互联网数据中心业务（含互联网资源协作服务）和互联网接入服务业务，且两项业务覆盖范围均需包含苏州市。</w:t>
      </w:r>
      <w:r/>
    </w:p>
    <w:p>
      <w:pPr>
        <w:ind w:left="0" w:firstLine="420"/>
        <w:spacing w:line="360" w:lineRule="auto"/>
        <w:rPr>
          <w:rFonts w:ascii="宋体" w:hAnsi="宋体"/>
          <w:sz w:val="21"/>
          <w:szCs w:val="21"/>
        </w:rPr>
      </w:pPr>
      <w:r>
        <w:rPr>
          <w:rFonts w:hint="eastAsia" w:ascii="宋体" w:hAnsi="宋体"/>
          <w:sz w:val="21"/>
          <w:szCs w:val="21"/>
        </w:rPr>
        <w:t xml:space="preserve">14.1.4.8其它有关资格证明文件。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3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bCs/>
          <w:sz w:val="21"/>
          <w:szCs w:val="21"/>
        </w:rPr>
      </w:pPr>
      <w:r>
        <w:rPr>
          <w:rFonts w:hint="eastAsia" w:ascii="宋体" w:hAnsi="宋体"/>
          <w:b/>
          <w:bCs/>
          <w:sz w:val="21"/>
          <w:szCs w:val="21"/>
        </w:rPr>
        <w:t xml:space="preserve">14.1.5.4实质性响应内容(供应商根据招标文件中实质性响应内容制作)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rPr>
        <w:t xml:space="preserve">5其他有关符合性证明的文件；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7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hint="eastAsia" w:ascii="宋体" w:hAnsi="宋体" w:cs="宋体"/>
          <w:b/>
          <w:bCs/>
          <w:sz w:val="21"/>
          <w:szCs w:val="21"/>
          <w:lang w:val="en-US"/>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7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hint="eastAsia" w:ascii="宋体" w:hAnsi="宋体" w:cs="宋体"/>
          <w:b/>
          <w:bCs/>
          <w:sz w:val="21"/>
          <w:szCs w:val="21"/>
          <w:lang w:val="en-US"/>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77"/>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7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7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7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77"/>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0" w:name="_Toc25608"/>
      <w:r/>
      <w:bookmarkStart w:id="31"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77"/>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1030"/>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p>
    <w:p>
      <w:pPr>
        <w:pStyle w:val="127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7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2" w:name="_Toc22837"/>
      <w:r/>
      <w:bookmarkStart w:id="33"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77"/>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2"/>
      <w:r/>
      <w:bookmarkEnd w:id="33"/>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7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77"/>
        <w:ind w:left="0" w:firstLine="422"/>
        <w:spacing w:line="360" w:lineRule="auto"/>
        <w:rPr>
          <w:rFonts w:ascii="宋体" w:hAnsi="宋体" w:cs="宋体"/>
          <w:b/>
          <w:sz w:val="21"/>
          <w:szCs w:val="21"/>
        </w:rPr>
      </w:pPr>
      <w:r/>
      <w:bookmarkStart w:id="34" w:name="OLE_LINK20"/>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r/>
    </w:p>
    <w:p>
      <w:pPr>
        <w:pStyle w:val="12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5"/>
      <w:r/>
      <w:bookmarkStart w:id="36" w:name="OLE_LINK6"/>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p>
    <w:p>
      <w:pPr>
        <w:pStyle w:val="12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（一）投标报价低于采购项目预算50%的，即投标报价&lt;采购项目预算×50%；</w:t>
      </w:r>
      <w:r/>
    </w:p>
    <w:p>
      <w:pPr>
        <w:pStyle w:val="12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（二）投标报价低于采购项目最高限价45%的，即投标报价&lt;采购项目最高限价×45%；</w:t>
      </w:r>
      <w:r/>
    </w:p>
    <w:p>
      <w:pPr>
        <w:pStyle w:val="12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（三）评标委员会认定的供应商报价过低、有可能影响产品质量或者不能诚信履约的其他情形。</w:t>
      </w:r>
      <w:r/>
    </w:p>
    <w:p>
      <w:pPr>
        <w:pStyle w:val="1277"/>
        <w:ind w:left="0" w:firstLine="422"/>
        <w:spacing w:line="360" w:lineRule="auto"/>
        <w:rPr>
          <w:rFonts w:ascii="宋体" w:hAnsi="宋体" w:cs="宋体"/>
          <w:b/>
          <w:sz w:val="21"/>
          <w:szCs w:val="21"/>
          <w:lang w:val="en-US"/>
        </w:rPr>
      </w:pPr>
      <w:r/>
      <w:bookmarkStart w:id="37" w:name="OLE_LINK3"/>
      <w:r/>
      <w:bookmarkStart w:id="38" w:name="OLE_LINK4"/>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9" w:name="OLE_LINK1"/>
      <w:r/>
      <w:bookmarkStart w:id="40" w:name="OLE_LINK2"/>
      <w:r>
        <w:rPr>
          <w:rFonts w:hint="eastAsia" w:ascii="宋体" w:hAnsi="宋体" w:cs="宋体"/>
          <w:b/>
          <w:sz w:val="21"/>
          <w:szCs w:val="21"/>
          <w:lang w:val="en-US"/>
        </w:rPr>
        <w:t xml:space="preserve">评标委员会</w:t>
      </w:r>
      <w:bookmarkEnd w:id="39"/>
      <w:r/>
      <w:bookmarkEnd w:id="40"/>
      <w:r>
        <w:rPr>
          <w:rFonts w:hint="eastAsia" w:ascii="宋体" w:hAnsi="宋体"/>
          <w:b/>
          <w:sz w:val="21"/>
          <w:szCs w:val="21"/>
        </w:rPr>
        <w:t xml:space="preserve">应当要求相关供应商在评标现场合理的时间内，提供项目具体成本测算等与报价合理性相关的书面说明及相关证明材料</w:t>
      </w:r>
      <w:bookmarkStart w:id="41" w:name="OLE_LINK9"/>
      <w:r/>
      <w:bookmarkStart w:id="42" w:name="OLE_LINK10"/>
      <w:r>
        <w:rPr>
          <w:rFonts w:hint="eastAsia" w:ascii="宋体" w:hAnsi="宋体"/>
          <w:b/>
          <w:sz w:val="21"/>
          <w:szCs w:val="21"/>
        </w:rPr>
        <w:t xml:space="preserve">，</w:t>
      </w:r>
      <w:bookmarkEnd w:id="41"/>
      <w:r/>
      <w:bookmarkEnd w:id="42"/>
      <w:r>
        <w:rPr>
          <w:rFonts w:hint="eastAsia" w:ascii="宋体" w:hAnsi="宋体"/>
          <w:b/>
          <w:sz w:val="21"/>
          <w:szCs w:val="21"/>
        </w:rPr>
        <w:t xml:space="preserve">对投标价格作出解释，由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结合同类产品在主要电商平台的价格、该行业当地</w:t>
      </w:r>
      <w:bookmarkStart w:id="43" w:name="OLE_LINK7"/>
      <w:r/>
      <w:bookmarkStart w:id="44" w:name="OLE_LINK8"/>
      <w:r>
        <w:rPr>
          <w:rFonts w:hint="eastAsia" w:ascii="宋体" w:hAnsi="宋体"/>
          <w:b/>
          <w:sz w:val="21"/>
          <w:szCs w:val="21"/>
        </w:rPr>
        <w:t xml:space="preserve">薪资</w:t>
      </w:r>
      <w:bookmarkEnd w:id="43"/>
      <w:r/>
      <w:bookmarkEnd w:id="44"/>
      <w:r>
        <w:rPr>
          <w:rFonts w:hint="eastAsia" w:ascii="宋体" w:hAnsi="宋体"/>
          <w:b/>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7"/>
      <w:r/>
      <w:bookmarkEnd w:id="38"/>
      <w:r/>
      <w:bookmarkEnd w:id="34"/>
      <w:r/>
      <w:r/>
    </w:p>
    <w:p>
      <w:pPr>
        <w:pStyle w:val="1277"/>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77"/>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77"/>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7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7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27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27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7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7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7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7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27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27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7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7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77"/>
        <w:ind w:left="0" w:firstLine="0"/>
        <w:spacing w:line="360" w:lineRule="auto"/>
        <w:rPr>
          <w:rFonts w:ascii="宋体" w:hAnsi="宋体" w:cs="宋体"/>
          <w:sz w:val="21"/>
          <w:szCs w:val="21"/>
        </w:rPr>
      </w:pPr>
      <w:r>
        <w:rPr>
          <w:rFonts w:ascii="宋体" w:hAnsi="宋体" w:cs="宋体"/>
          <w:sz w:val="21"/>
          <w:szCs w:val="21"/>
        </w:rPr>
      </w:r>
      <w:r/>
    </w:p>
    <w:p>
      <w:pPr>
        <w:pStyle w:val="1014"/>
        <w:ind w:left="0"/>
        <w:jc w:val="center"/>
        <w:keepLines w:val="0"/>
        <w:keepNext w:val="0"/>
        <w:spacing w:before="340" w:after="330" w:line="578" w:lineRule="auto"/>
        <w:rPr>
          <w:rFonts w:ascii="宋体" w:hAnsi="宋体" w:eastAsia="宋体" w:cs="宋体"/>
          <w:b/>
          <w:color w:val="auto"/>
          <w:sz w:val="44"/>
          <w:szCs w:val="22"/>
          <w:lang w:val="zh-CN"/>
        </w:rPr>
      </w:pPr>
      <w:r/>
      <w:bookmarkStart w:id="49" w:name="_Toc24711"/>
      <w:r/>
      <w:bookmarkStart w:id="50" w:name="_Toc105397778"/>
      <w:r/>
      <w:bookmarkStart w:id="51" w:name="_Toc7264"/>
      <w:r>
        <w:rPr>
          <w:rFonts w:hint="eastAsia" w:ascii="宋体" w:hAnsi="宋体"/>
          <w:b/>
          <w:color w:val="auto"/>
          <w:sz w:val="44"/>
          <w:szCs w:val="22"/>
        </w:rPr>
        <w:br w:type="page" w:clear="all"/>
      </w:r>
      <w:r>
        <w:rPr>
          <w:rFonts w:hint="eastAsia" w:ascii="宋体" w:hAnsi="宋体" w:eastAsia="宋体" w:cs="宋体"/>
          <w:b/>
          <w:color w:val="auto"/>
          <w:sz w:val="44"/>
          <w:szCs w:val="22"/>
        </w:rPr>
        <w:t xml:space="preserve">第三章  </w:t>
      </w:r>
      <w:bookmarkStart w:id="52" w:name="投标文件格式"/>
      <w:r/>
      <w:bookmarkEnd w:id="52"/>
      <w:r>
        <w:rPr>
          <w:rFonts w:hint="eastAsia" w:ascii="宋体" w:hAnsi="宋体" w:eastAsia="宋体" w:cs="宋体"/>
          <w:b/>
          <w:color w:val="auto"/>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27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71810480"/>
      <w:r/>
      <w:bookmarkStart w:id="54" w:name="_Toc17036"/>
      <w:r/>
      <w:bookmarkStart w:id="55" w:name="_Toc105397779"/>
      <w:r/>
      <w:bookmarkStart w:id="56" w:name="_Toc3821"/>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4"/>
        <w:ind w:left="0"/>
        <w:keepLines w:val="0"/>
        <w:keepNext w:val="0"/>
        <w:spacing w:before="0" w:after="0" w:line="360" w:lineRule="auto"/>
        <w:rPr>
          <w:rFonts w:ascii="宋体" w:hAnsi="宋体" w:eastAsia="宋体" w:cs="宋体"/>
          <w:b/>
          <w:color w:val="auto"/>
          <w:sz w:val="21"/>
          <w:szCs w:val="21"/>
        </w:rPr>
      </w:pPr>
      <w:r>
        <w:rPr>
          <w:rFonts w:ascii="宋体" w:hAnsi="宋体"/>
          <w:b/>
          <w:color w:val="auto"/>
          <w:sz w:val="21"/>
          <w:szCs w:val="21"/>
        </w:rPr>
        <w:br w:type="page" w:clear="all"/>
      </w:r>
      <w:bookmarkStart w:id="57" w:name="_Toc167285806"/>
      <w:r/>
      <w:bookmarkStart w:id="58" w:name="_Toc71810481"/>
      <w:r/>
      <w:bookmarkStart w:id="59" w:name="_Toc105397780"/>
      <w:r>
        <w:rPr>
          <w:rFonts w:ascii="宋体" w:hAnsi="宋体" w:eastAsia="宋体" w:cs="宋体"/>
          <w:b/>
          <w:color w:val="auto"/>
          <w:sz w:val="21"/>
          <w:szCs w:val="21"/>
        </w:rPr>
        <w:t xml:space="preserve">附件</w:t>
      </w:r>
      <w:r>
        <w:rPr>
          <w:rFonts w:hint="eastAsia" w:ascii="宋体" w:hAnsi="宋体" w:eastAsia="宋体" w:cs="宋体"/>
          <w:b/>
          <w:color w:val="auto"/>
          <w:sz w:val="21"/>
          <w:szCs w:val="21"/>
        </w:rPr>
        <w:t xml:space="preserve">2.开标一览表</w:t>
      </w:r>
      <w:bookmarkEnd w:id="57"/>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开标一览表（优惠率）</w:t>
      </w:r>
      <w:r/>
    </w:p>
    <w:p>
      <w:pPr>
        <w:ind w:left="0"/>
        <w:jc w:val="center"/>
        <w:spacing w:line="360" w:lineRule="auto"/>
        <w:rPr>
          <w:rFonts w:ascii="宋体" w:hAnsi="宋体"/>
          <w:b/>
          <w:sz w:val="21"/>
          <w:szCs w:val="21"/>
        </w:rPr>
      </w:pPr>
      <w:r>
        <w:rPr>
          <w:rFonts w:ascii="宋体" w:hAnsi="宋体"/>
          <w:b/>
          <w:sz w:val="21"/>
          <w:szCs w:val="21"/>
        </w:rPr>
      </w:r>
      <w:r/>
    </w:p>
    <w:p>
      <w:pPr>
        <w:pStyle w:val="1093"/>
        <w:ind w:left="0"/>
        <w:rPr>
          <w:rFonts w:ascii="宋体" w:hAnsi="宋体"/>
        </w:rPr>
      </w:pPr>
      <w:r>
        <w:rPr>
          <w:rFonts w:ascii="宋体" w:hAnsi="宋体"/>
        </w:rPr>
      </w:r>
      <w:r/>
    </w:p>
    <w:p>
      <w:pPr>
        <w:pStyle w:val="1093"/>
        <w:ind w:left="0"/>
        <w:rPr>
          <w:rFonts w:ascii="宋体" w:hAnsi="宋体"/>
        </w:rPr>
      </w:pPr>
      <w:r>
        <w:rPr>
          <w:rFonts w:ascii="宋体" w:hAnsi="宋体"/>
        </w:rPr>
      </w:r>
      <w:r/>
    </w:p>
    <w:p>
      <w:pPr>
        <w:pStyle w:val="1093"/>
        <w:ind w:left="0"/>
        <w:rPr>
          <w:rFonts w:ascii="宋体" w:hAnsi="宋体"/>
          <w:sz w:val="21"/>
          <w:szCs w:val="21"/>
        </w:rPr>
      </w:pPr>
      <w:r>
        <w:rPr>
          <w:rFonts w:hint="eastAsia" w:ascii="宋体" w:hAnsi="宋体"/>
          <w:sz w:val="21"/>
          <w:szCs w:val="21"/>
        </w:rPr>
        <w:t xml:space="preserve">投标人全称（加盖公章）：</w:t>
      </w:r>
      <w:r/>
    </w:p>
    <w:p>
      <w:pPr>
        <w:pStyle w:val="1093"/>
        <w:ind w:left="0"/>
        <w:rPr>
          <w:rFonts w:ascii="宋体" w:hAnsi="宋体"/>
          <w:sz w:val="21"/>
          <w:szCs w:val="21"/>
        </w:rPr>
      </w:pPr>
      <w:r>
        <w:rPr>
          <w:rFonts w:hint="eastAsia" w:ascii="宋体" w:hAnsi="宋体"/>
          <w:sz w:val="21"/>
          <w:szCs w:val="21"/>
        </w:rPr>
        <w:t xml:space="preserve">项目编号：</w:t>
      </w:r>
      <w:r/>
    </w:p>
    <w:p>
      <w:pPr>
        <w:pStyle w:val="1093"/>
        <w:ind w:left="0"/>
        <w:rPr>
          <w:rFonts w:ascii="宋体" w:hAnsi="宋体"/>
        </w:rPr>
      </w:pPr>
      <w:r>
        <w:rPr>
          <w:rFonts w:ascii="宋体" w:hAnsi="宋体"/>
        </w:rPr>
      </w:r>
      <w:r/>
    </w:p>
    <w:tbl>
      <w:tblPr>
        <w:tblStyle w:val="1024"/>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Cs w:val="21"/>
              </w:rPr>
              <w:t xml:space="preserve">%</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服务报价</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Cs w:val="21"/>
              </w:rPr>
              <w:t xml:space="preserve">优惠率              %</w:t>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备注：</w:t>
            </w:r>
            <w:r/>
          </w:p>
        </w:tc>
      </w:tr>
    </w:tbl>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3、合同固定单价按单价最高限价*（1-优惠率（%））计算。</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投标价：以采购标的清单中单价（限价）进行整体的优惠率报价，整体的优惠率即为各项产品单价（限价）的优惠率，投标优惠率≥0，步长为1%。（优惠率释义：例如单价（限价）为100元，投标人如以98元的价格提供服务，则优惠率为2％；步长为1%释义：例如所投优惠率为1%、2%、3%……19%、20%等整数的优惠率，不能为1.1%、2.54%等带小数的优惠率），</w:t>
      </w:r>
      <w:r>
        <w:rPr>
          <w:rFonts w:hint="eastAsia" w:ascii="宋体" w:hAnsi="宋体"/>
          <w:sz w:val="21"/>
          <w:szCs w:val="21"/>
        </w:rPr>
        <w:t xml:space="preserve">未按要求报价</w:t>
      </w:r>
      <w:r>
        <w:rPr>
          <w:rFonts w:hint="eastAsia" w:ascii="宋体" w:hAnsi="宋体"/>
          <w:sz w:val="21"/>
          <w:szCs w:val="21"/>
          <w:lang w:val="zh-CN"/>
        </w:rPr>
        <w:t xml:space="preserve">视为</w:t>
      </w:r>
      <w:r>
        <w:rPr>
          <w:rFonts w:hint="eastAsia" w:ascii="宋体" w:hAnsi="宋体"/>
          <w:sz w:val="21"/>
          <w:szCs w:val="21"/>
        </w:rPr>
        <w:t xml:space="preserve">非</w:t>
      </w:r>
      <w:r>
        <w:rPr>
          <w:rFonts w:hint="eastAsia" w:ascii="宋体" w:hAnsi="宋体"/>
          <w:sz w:val="21"/>
          <w:szCs w:val="21"/>
          <w:lang w:val="zh-CN"/>
        </w:rPr>
        <w:t xml:space="preserve">实质性响应。</w:t>
      </w:r>
      <w:r/>
    </w:p>
    <w:p>
      <w:pPr>
        <w:ind w:left="0" w:firstLine="420"/>
        <w:spacing w:line="440" w:lineRule="exact"/>
        <w:rPr>
          <w:rFonts w:ascii="宋体" w:hAnsi="宋体"/>
          <w:sz w:val="21"/>
          <w:szCs w:val="21"/>
          <w:lang w:val="zh-CN"/>
        </w:rPr>
      </w:pPr>
      <w:r>
        <w:rPr>
          <w:rFonts w:ascii="宋体" w:hAnsi="宋体"/>
          <w:sz w:val="21"/>
          <w:szCs w:val="21"/>
          <w:lang w:val="zh-CN"/>
        </w:rPr>
      </w:r>
      <w:r/>
    </w:p>
    <w:p>
      <w:pPr>
        <w:ind w:right="300" w:firstLine="2310"/>
        <w:jc w:val="left"/>
        <w:spacing w:line="360" w:lineRule="auto"/>
        <w:rPr>
          <w:rFonts w:ascii="宋体" w:hAnsi="宋体"/>
          <w:sz w:val="21"/>
          <w:szCs w:val="21"/>
          <w:lang w:val="zh-CN"/>
        </w:rPr>
      </w:pPr>
      <w:r>
        <w:rPr>
          <w:rFonts w:ascii="宋体" w:hAnsi="宋体"/>
          <w:sz w:val="21"/>
          <w:szCs w:val="21"/>
          <w:lang w:val="zh-CN"/>
        </w:rPr>
      </w:r>
      <w:r/>
    </w:p>
    <w:p>
      <w:pPr>
        <w:ind w:right="300" w:firstLine="3780"/>
        <w:jc w:val="left"/>
        <w:spacing w:line="360" w:lineRule="auto"/>
        <w:rPr>
          <w:rFonts w:ascii="宋体" w:hAnsi="宋体"/>
          <w:sz w:val="21"/>
          <w:szCs w:val="21"/>
          <w:lang w:val="zh-CN"/>
        </w:rPr>
      </w:pPr>
      <w:r>
        <w:rPr>
          <w:rFonts w:hint="eastAsia" w:ascii="宋体" w:hAnsi="宋体"/>
          <w:sz w:val="21"/>
          <w:szCs w:val="21"/>
          <w:lang w:val="zh-CN"/>
        </w:rPr>
        <w:t xml:space="preserve">日    期：     年</w:t>
      </w:r>
      <w:r>
        <w:rPr>
          <w:rFonts w:hint="eastAsia" w:ascii="宋体" w:hAnsi="宋体"/>
          <w:sz w:val="21"/>
          <w:szCs w:val="21"/>
        </w:rPr>
        <w:t xml:space="preserve">     </w:t>
      </w:r>
      <w:r>
        <w:rPr>
          <w:rFonts w:hint="eastAsia" w:ascii="宋体" w:hAnsi="宋体"/>
          <w:sz w:val="21"/>
          <w:szCs w:val="21"/>
          <w:lang w:val="zh-CN"/>
        </w:rPr>
        <w:t xml:space="preserve">月   </w:t>
      </w:r>
      <w:r>
        <w:rPr>
          <w:rFonts w:hint="eastAsia" w:ascii="宋体" w:hAnsi="宋体"/>
          <w:sz w:val="21"/>
          <w:szCs w:val="21"/>
        </w:rPr>
        <w:t xml:space="preserve"> </w:t>
      </w:r>
      <w:r>
        <w:rPr>
          <w:rFonts w:hint="eastAsia" w:ascii="宋体" w:hAnsi="宋体"/>
          <w:sz w:val="21"/>
          <w:szCs w:val="21"/>
          <w:lang w:val="zh-CN"/>
        </w:rPr>
        <w:t xml:space="preserve">日</w:t>
      </w:r>
      <w:bookmarkEnd w:id="58"/>
      <w:r/>
      <w:bookmarkEnd w:id="59"/>
      <w:r/>
      <w:r/>
    </w:p>
    <w:p>
      <w:pPr>
        <w:ind w:left="0"/>
        <w:rPr>
          <w:rFonts w:ascii="宋体" w:hAnsi="宋体"/>
          <w:sz w:val="21"/>
          <w:szCs w:val="21"/>
        </w:rPr>
      </w:pPr>
      <w:r>
        <w:rPr>
          <w:rFonts w:ascii="宋体" w:hAnsi="宋体"/>
          <w:sz w:val="21"/>
          <w:szCs w:val="21"/>
        </w:rPr>
        <w:t xml:space="preserve"> </w:t>
      </w:r>
      <w:r/>
    </w:p>
    <w:p>
      <w:pPr>
        <w:pStyle w:val="1071"/>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0" w:name="_Toc71810483"/>
      <w:r/>
      <w:bookmarkStart w:id="61" w:name="_Toc105397782"/>
      <w:r>
        <w:rPr>
          <w:rFonts w:ascii="宋体" w:hAnsi="宋体"/>
          <w:b/>
          <w:sz w:val="21"/>
          <w:szCs w:val="21"/>
        </w:rPr>
        <w:t xml:space="preserve">附件</w:t>
      </w:r>
      <w:r>
        <w:rPr>
          <w:rFonts w:hint="eastAsia" w:ascii="宋体" w:hAnsi="宋体"/>
          <w:b/>
          <w:sz w:val="21"/>
          <w:szCs w:val="21"/>
        </w:rPr>
        <w:t xml:space="preserve">3.</w:t>
      </w:r>
      <w:r>
        <w:rPr>
          <w:rFonts w:ascii="宋体" w:hAnsi="宋体"/>
          <w:b/>
          <w:sz w:val="21"/>
          <w:szCs w:val="21"/>
        </w:rPr>
        <w:t xml:space="preserve">法定代表人授权委托书</w:t>
      </w:r>
      <w:bookmarkEnd w:id="60"/>
      <w:r/>
      <w:bookmarkEnd w:id="6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2" w:name="_Toc105397783"/>
      <w:r/>
      <w:bookmarkStart w:id="63" w:name="_Toc71810484"/>
      <w:r/>
      <w:bookmarkStart w:id="64" w:name="_Toc21574"/>
      <w:r/>
      <w:bookmarkStart w:id="65" w:name="_Toc19621"/>
      <w:r>
        <w:rPr>
          <w:rFonts w:ascii="宋体" w:hAnsi="宋体"/>
          <w:b/>
          <w:sz w:val="21"/>
          <w:szCs w:val="21"/>
        </w:rPr>
        <w:t xml:space="preserve">附件</w:t>
      </w:r>
      <w:r>
        <w:rPr>
          <w:rFonts w:hint="eastAsia" w:ascii="宋体" w:hAnsi="宋体"/>
          <w:b/>
          <w:sz w:val="21"/>
          <w:szCs w:val="21"/>
        </w:rPr>
        <w:t xml:space="preserve">4.</w:t>
      </w:r>
      <w:r>
        <w:rPr>
          <w:rFonts w:ascii="宋体" w:hAnsi="宋体"/>
          <w:b/>
          <w:sz w:val="21"/>
          <w:szCs w:val="21"/>
        </w:rPr>
        <w:t xml:space="preserve">中小企业声明函</w:t>
      </w:r>
      <w:bookmarkEnd w:id="62"/>
      <w:r/>
      <w:bookmarkEnd w:id="63"/>
      <w:r/>
      <w:bookmarkEnd w:id="64"/>
      <w:r/>
      <w:bookmarkEnd w:id="6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苏州市数据局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苏州市政务“一朵云”服务采购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苏州市政务“一朵云”服务采购</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7" w:name="_Toc105397784"/>
      <w:r>
        <w:rPr>
          <w:rFonts w:hint="eastAsia" w:ascii="宋体" w:hAnsi="宋体"/>
          <w:b/>
          <w:sz w:val="21"/>
          <w:szCs w:val="21"/>
        </w:rPr>
        <w:t xml:space="preserve">附件5.残疾人福利性单位声明函</w:t>
      </w:r>
      <w:bookmarkEnd w:id="66"/>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8" w:name="_Toc32206"/>
      <w:r/>
      <w:bookmarkStart w:id="69" w:name="_Toc3869"/>
      <w:r/>
      <w:bookmarkStart w:id="7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8"/>
      <w:r/>
      <w:bookmarkEnd w:id="69"/>
      <w:r/>
      <w:bookmarkEnd w:id="7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1"/>
        <w:ind w:left="0" w:firstLine="0"/>
        <w:rPr>
          <w:rFonts w:ascii="宋体" w:hAnsi="宋体"/>
          <w:b/>
          <w:lang w:val="zh-CN"/>
        </w:rPr>
      </w:pPr>
      <w:r>
        <w:rPr>
          <w:rFonts w:ascii="宋体" w:hAnsi="宋体"/>
          <w:b/>
          <w:lang w:val="zh-CN"/>
        </w:rPr>
      </w:r>
      <w:r/>
    </w:p>
    <w:p>
      <w:pPr>
        <w:pStyle w:val="1071"/>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71"/>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1" w:name="_Toc71810487"/>
      <w:r/>
      <w:bookmarkStart w:id="72" w:name="_Toc105397785"/>
      <w:r>
        <w:rPr>
          <w:rFonts w:ascii="宋体" w:hAnsi="宋体"/>
          <w:b/>
          <w:sz w:val="21"/>
          <w:szCs w:val="21"/>
        </w:rPr>
        <w:t xml:space="preserve">附件</w:t>
      </w:r>
      <w:r>
        <w:rPr>
          <w:rFonts w:hint="eastAsia" w:ascii="宋体" w:hAnsi="宋体"/>
          <w:b/>
          <w:sz w:val="21"/>
          <w:szCs w:val="21"/>
        </w:rPr>
        <w:t xml:space="preserve">6.</w:t>
      </w:r>
      <w:bookmarkEnd w:id="71"/>
      <w:r>
        <w:rPr>
          <w:rFonts w:hint="eastAsia" w:ascii="宋体" w:hAnsi="宋体"/>
        </w:rPr>
        <w:t xml:space="preserve"> </w:t>
      </w:r>
      <w:r>
        <w:rPr>
          <w:rFonts w:hint="eastAsia" w:ascii="宋体" w:hAnsi="宋体"/>
          <w:b/>
          <w:sz w:val="21"/>
          <w:szCs w:val="21"/>
        </w:rPr>
        <w:t xml:space="preserve">偏离表（技术、商务）</w:t>
      </w:r>
      <w:bookmarkEnd w:id="7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102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3" w:name="_Toc31973"/>
      <w:r/>
      <w:bookmarkStart w:id="74" w:name="_Toc27138"/>
      <w:r>
        <w:rPr>
          <w:rFonts w:ascii="宋体" w:hAnsi="宋体"/>
          <w:sz w:val="21"/>
          <w:szCs w:val="21"/>
        </w:rPr>
        <w:t xml:space="preserve"> </w:t>
      </w:r>
      <w:r/>
    </w:p>
    <w:p>
      <w:pPr>
        <w:pStyle w:val="103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cs="Times New Roman"/>
        </w:rPr>
      </w:pPr>
      <w:r>
        <w:rPr>
          <w:rFonts w:ascii="宋体" w:hAnsi="宋体" w:cs="Times New Roman"/>
        </w:rPr>
      </w:r>
      <w:r/>
    </w:p>
    <w:p>
      <w:pPr>
        <w:pStyle w:val="1038"/>
        <w:rPr>
          <w:rFonts w:ascii="宋体" w:hAnsi="宋体"/>
        </w:rPr>
      </w:pPr>
      <w:r>
        <w:rPr>
          <w:rFonts w:ascii="宋体" w:hAnsi="宋体"/>
        </w:rPr>
      </w:r>
      <w:r/>
    </w:p>
    <w:p>
      <w:pPr>
        <w:pStyle w:val="1030"/>
        <w:rPr>
          <w:rFonts w:ascii="宋体" w:hAnsi="宋体" w:cs="Times New Roman"/>
        </w:rPr>
      </w:pPr>
      <w:r>
        <w:rPr>
          <w:rFonts w:ascii="宋体" w:hAnsi="宋体" w:cs="Times New Roman"/>
        </w:rPr>
      </w:r>
      <w:r/>
    </w:p>
    <w:p>
      <w:pPr>
        <w:ind w:left="0"/>
        <w:jc w:val="left"/>
        <w:rPr>
          <w:rFonts w:ascii="宋体" w:hAnsi="宋体"/>
          <w:b/>
          <w:sz w:val="21"/>
          <w:szCs w:val="21"/>
        </w:rPr>
      </w:pPr>
      <w:r/>
      <w:bookmarkStart w:id="75" w:name="_Toc105397786"/>
      <w:r/>
      <w:r/>
    </w:p>
    <w:p>
      <w:pPr>
        <w:ind w:left="0"/>
        <w:jc w:val="left"/>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hint="eastAsia" w:ascii="宋体" w:hAnsi="宋体"/>
          <w:b/>
          <w:sz w:val="21"/>
          <w:szCs w:val="21"/>
        </w:rPr>
        <w:t xml:space="preserve">7.项目服务人员配置表</w:t>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102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76" w:name="_Toc105397787"/>
      <w:r/>
      <w:bookmarkStart w:id="77" w:name="_Toc71810489"/>
      <w:r>
        <w:rPr>
          <w:rFonts w:ascii="宋体" w:hAnsi="宋体"/>
          <w:b/>
          <w:sz w:val="21"/>
          <w:szCs w:val="21"/>
        </w:rPr>
        <w:br w:type="page" w:clear="all"/>
      </w:r>
      <w:r>
        <w:rPr>
          <w:rFonts w:ascii="宋体" w:hAnsi="宋体"/>
          <w:b/>
          <w:sz w:val="21"/>
          <w:szCs w:val="21"/>
        </w:rPr>
        <w:t xml:space="preserve">附件</w:t>
      </w:r>
      <w:r>
        <w:rPr>
          <w:rFonts w:hint="eastAsia" w:ascii="宋体" w:hAnsi="宋体"/>
          <w:b/>
          <w:sz w:val="21"/>
          <w:szCs w:val="21"/>
        </w:rPr>
        <w:t xml:space="preserve">8.相关业绩一览表</w:t>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8"/>
        <w:rPr>
          <w:rFonts w:ascii="宋体" w:hAnsi="宋体"/>
        </w:rPr>
      </w:pPr>
      <w:r>
        <w:rPr>
          <w:rFonts w:ascii="宋体" w:hAnsi="宋体"/>
        </w:rPr>
      </w:r>
      <w:r/>
    </w:p>
    <w:p>
      <w:pPr>
        <w:pStyle w:val="103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73"/>
      <w:r/>
      <w:bookmarkEnd w:id="74"/>
      <w:r/>
      <w:bookmarkStart w:id="78" w:name="_Toc105397788"/>
      <w:r/>
      <w:bookmarkStart w:id="79" w:name="_Toc71810490"/>
      <w:r>
        <w:rPr>
          <w:rFonts w:ascii="宋体" w:hAnsi="宋体"/>
          <w:b/>
          <w:sz w:val="21"/>
          <w:szCs w:val="21"/>
        </w:rPr>
        <w:t xml:space="preserve">附件</w:t>
      </w:r>
      <w:r>
        <w:rPr>
          <w:rFonts w:hint="eastAsia" w:ascii="宋体" w:hAnsi="宋体"/>
          <w:b/>
          <w:sz w:val="21"/>
          <w:szCs w:val="21"/>
        </w:rPr>
        <w:t xml:space="preserve">9.针对本项目的实施方案</w:t>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1024"/>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8"/>
        <w:rPr>
          <w:rFonts w:ascii="宋体" w:hAnsi="宋体"/>
        </w:rPr>
      </w:pPr>
      <w:r>
        <w:rPr>
          <w:rFonts w:ascii="宋体" w:hAnsi="宋体"/>
        </w:rPr>
      </w:r>
      <w:r/>
    </w:p>
    <w:p>
      <w:pPr>
        <w:pStyle w:val="103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0" w:name="_Toc105397789"/>
      <w:r>
        <w:rPr>
          <w:rFonts w:ascii="宋体" w:hAnsi="宋体"/>
          <w:b/>
          <w:sz w:val="21"/>
          <w:szCs w:val="21"/>
        </w:rPr>
        <w:t xml:space="preserve">附件1</w:t>
      </w:r>
      <w:r>
        <w:rPr>
          <w:rFonts w:hint="eastAsia" w:ascii="宋体" w:hAnsi="宋体"/>
          <w:b/>
          <w:sz w:val="21"/>
          <w:szCs w:val="21"/>
        </w:rPr>
        <w:t xml:space="preserve">0.</w:t>
      </w:r>
      <w:r>
        <w:rPr>
          <w:rFonts w:ascii="宋体" w:hAnsi="宋体"/>
          <w:b/>
          <w:sz w:val="21"/>
          <w:szCs w:val="21"/>
        </w:rPr>
        <w:t xml:space="preserve">关于资格文件的声明函</w:t>
      </w:r>
      <w:bookmarkEnd w:id="79"/>
      <w:r/>
      <w:bookmarkEnd w:id="8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hint="eastAsia" w:ascii="宋体" w:hAnsi="宋体"/>
          <w:b/>
          <w:sz w:val="21"/>
          <w:szCs w:val="21"/>
        </w:rPr>
        <w:t xml:space="preserve">1.</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1025"/>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Style w:val="102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81" w:name="OLE_LINK21"/>
      <w:r>
        <w:rPr>
          <w:rFonts w:hint="eastAsia" w:ascii="宋体" w:hAnsi="宋体"/>
          <w:b/>
          <w:sz w:val="21"/>
          <w:szCs w:val="21"/>
          <w:lang w:val="zh-CN"/>
        </w:rPr>
        <w:t xml:space="preserve">备注:根据招标文件第二章“投标人须知”第26.4</w:t>
      </w:r>
      <w:bookmarkStart w:id="82"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82"/>
      <w:r>
        <w:rPr>
          <w:rFonts w:hint="eastAsia" w:ascii="宋体" w:hAnsi="宋体"/>
          <w:b/>
          <w:sz w:val="21"/>
          <w:szCs w:val="21"/>
          <w:lang w:val="zh-CN"/>
        </w:rPr>
        <w:t xml:space="preserve">或者评标委员会认定的供应商报价过低、有可能影响产品质量或者不能诚信履约的其他情形时,</w:t>
      </w:r>
      <w:bookmarkStart w:id="83" w:name="OLE_LINK19"/>
      <w:r/>
      <w:bookmarkStart w:id="84" w:name="OLE_LINK18"/>
      <w:r>
        <w:rPr>
          <w:rFonts w:hint="eastAsia" w:ascii="宋体" w:hAnsi="宋体"/>
          <w:b/>
          <w:sz w:val="21"/>
          <w:szCs w:val="21"/>
          <w:lang w:val="zh-CN"/>
        </w:rPr>
        <w:t xml:space="preserve">评标委员会</w:t>
      </w:r>
      <w:bookmarkEnd w:id="83"/>
      <w:r/>
      <w:bookmarkEnd w:id="84"/>
      <w:r>
        <w:rPr>
          <w:rFonts w:hint="eastAsia" w:ascii="宋体" w:hAnsi="宋体"/>
          <w:b/>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1"/>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hint="eastAsia" w:ascii="宋体" w:hAnsi="宋体"/>
          <w:sz w:val="21"/>
          <w:szCs w:val="21"/>
        </w:rPr>
        <w:t xml:space="preserve">：</w:t>
      </w:r>
      <w:r>
        <w:rPr>
          <w:rFonts w:ascii="宋体" w:hAnsi="宋体"/>
          <w:sz w:val="21"/>
          <w:szCs w:val="21"/>
        </w:rPr>
        <w:t xml:space="preserve">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5"/>
        <w:ind w:left="0" w:firstLine="0"/>
        <w:rPr>
          <w:lang w:val="zh-CN"/>
        </w:rPr>
      </w:pPr>
      <w:r>
        <w:rPr>
          <w:lang w:val="zh-CN"/>
        </w:rPr>
      </w:r>
      <w:r/>
    </w:p>
    <w:p>
      <w:pPr>
        <w:pStyle w:val="1014"/>
        <w:ind w:left="0"/>
        <w:jc w:val="center"/>
        <w:keepLines w:val="0"/>
        <w:keepNext w:val="0"/>
        <w:spacing w:before="340" w:after="330" w:line="578" w:lineRule="auto"/>
        <w:rPr>
          <w:rFonts w:ascii="宋体" w:hAnsi="宋体" w:eastAsia="宋体" w:cs="宋体"/>
          <w:b/>
          <w:color w:val="auto"/>
          <w:sz w:val="44"/>
          <w:szCs w:val="22"/>
        </w:rPr>
      </w:pPr>
      <w:r/>
      <w:bookmarkStart w:id="85" w:name="_Toc4098"/>
      <w:r/>
      <w:bookmarkStart w:id="86" w:name="_Toc105397793"/>
      <w:r/>
      <w:bookmarkStart w:id="87" w:name="_Toc23660"/>
      <w:r>
        <w:rPr>
          <w:rFonts w:hint="eastAsia" w:ascii="宋体" w:hAnsi="宋体" w:eastAsia="宋体" w:cs="宋体"/>
          <w:b/>
          <w:color w:val="auto"/>
          <w:sz w:val="44"/>
          <w:szCs w:val="22"/>
        </w:rPr>
        <w:t xml:space="preserve">第四章  </w:t>
      </w:r>
      <w:bookmarkStart w:id="88" w:name="招标书"/>
      <w:r/>
      <w:bookmarkEnd w:id="88"/>
      <w:r>
        <w:rPr>
          <w:rFonts w:hint="eastAsia" w:ascii="宋体" w:hAnsi="宋体" w:eastAsia="宋体" w:cs="宋体"/>
          <w:b/>
          <w:color w:val="auto"/>
          <w:sz w:val="44"/>
          <w:szCs w:val="22"/>
        </w:rPr>
        <w:t xml:space="preserve">招标书</w:t>
      </w:r>
      <w:bookmarkEnd w:id="85"/>
      <w:r/>
      <w:bookmarkEnd w:id="86"/>
      <w:r/>
      <w:bookmarkEnd w:id="8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苏州市数据局  </w:t>
      </w:r>
      <w:r>
        <w:rPr>
          <w:rFonts w:ascii="宋体" w:hAnsi="宋体"/>
          <w:sz w:val="21"/>
        </w:rPr>
        <w:t xml:space="preserve">的委托，就</w:t>
      </w:r>
      <w:r>
        <w:rPr>
          <w:rFonts w:hint="eastAsia" w:ascii="宋体" w:hAnsi="宋体"/>
          <w:sz w:val="21"/>
          <w:u w:val="single"/>
        </w:rPr>
        <w:t xml:space="preserve"> 苏州市政务“一朵云”服务采购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一、项目编号：JSZC-320500-JZCG-G2025-0645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二、项目名称：苏州市政务“一朵云”服务采购</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三、预算金额：人民币贰仟贰佰万元整(￥22000000元)</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四、最高限价：人民币贰仟贰佰万元整(￥22000000元)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自签订合同之日起一年。</w:t>
      </w:r>
      <w:r/>
    </w:p>
    <w:p>
      <w:pPr>
        <w:ind w:left="0" w:firstLine="420"/>
        <w:spacing w:line="360" w:lineRule="auto"/>
        <w:tabs>
          <w:tab w:val="left" w:pos="420" w:leader="none"/>
          <w:tab w:val="left" w:pos="7230" w:leader="none"/>
        </w:tabs>
        <w:rPr>
          <w:rFonts w:ascii="宋体" w:hAnsi="宋体"/>
          <w:sz w:val="21"/>
        </w:rPr>
      </w:pPr>
      <w:r>
        <w:rPr>
          <w:rFonts w:hint="eastAsia" w:ascii="宋体" w:hAnsi="宋体"/>
          <w:sz w:val="21"/>
        </w:rPr>
        <w:t xml:space="preserve">六、招标内容：</w:t>
      </w:r>
      <w:r>
        <w:rPr>
          <w:rFonts w:hint="eastAsia" w:ascii="宋体" w:hAnsi="宋体"/>
          <w:sz w:val="21"/>
        </w:rPr>
        <w:tab/>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务“一朵云”服务项目是严格遵循《江苏省政务“一朵云”建设总体方案》的统一部署和要求而开展的，该方案由江苏省政府办公厅正式印发，明确提出了构建全省集约共享、融合创新、智能敏捷、安全可控、高效服务政务云统一体系的总体目标，并规划到2027年底全面建成此体系，以实现全省政务云资源的统筹管理和高效利用。</w:t>
      </w:r>
      <w:r/>
    </w:p>
    <w:p>
      <w:pPr>
        <w:ind w:left="0" w:firstLine="420"/>
        <w:spacing w:line="360" w:lineRule="auto"/>
        <w:tabs>
          <w:tab w:val="left" w:pos="0" w:leader="none"/>
        </w:tabs>
        <w:rPr>
          <w:rFonts w:ascii="宋体" w:hAnsi="宋体"/>
          <w:sz w:val="21"/>
        </w:rPr>
      </w:pPr>
      <w:r>
        <w:rPr>
          <w:rFonts w:hint="eastAsia" w:ascii="宋体" w:hAnsi="宋体"/>
          <w:sz w:val="21"/>
        </w:rPr>
        <w:t xml:space="preserve">根据方案所规</w:t>
      </w:r>
      <w:r>
        <w:rPr>
          <w:rFonts w:hint="eastAsia" w:ascii="宋体" w:hAnsi="宋体"/>
          <w:sz w:val="21"/>
        </w:rPr>
        <w:t xml:space="preserve">划的"1+13"总体架构，即建设1个省级核心节点和13个设区市骨干节点，全省实行统一规划、分级建设、集中管理的模式，在此架构下，为有效整合资源、避免重复建设、强化安全管控并提升整体运营效能。方案明确规定"各级部门单位和县（市、区）不再单独建设或外租云资源"，对现有自建基础设施要求在生命周期结束后自然淘汰，外租云资源到期后原则上也不再续签；同时，所有新增非涉密业务应用系统必须全部上云用云，存量非涉密业务应用系统则需要按照"先易后难、先简后繁"的实施策略，经过充分评估和准备后安全、有序地迁移至统一的政务云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为切实落实上述省级政策要求，本项目采</w:t>
      </w:r>
      <w:r>
        <w:rPr>
          <w:rFonts w:hint="eastAsia" w:ascii="宋体" w:hAnsi="宋体"/>
          <w:sz w:val="21"/>
        </w:rPr>
        <w:t xml:space="preserve">用由市级层面统一组织云服务采购工作，确定符合资质的云服务商及其服务清单与基准价格，各县（市、区）根据本地区政务信息化发展的实际需求按需采购云服务。中标人必须依据省级"一朵云"的顶层设计和标准规范，依托苏州市政务云平台现有基础资源与技术服务能力，规划、建设并运营服务于全市的云资源池，从而形成江苏省政务"一朵云"体系中的重要组成部分——苏州骨干节点，最终实现全市范围内政务云平台的统一管理、统一运维和统一服务，全面提升政务信息系统集约化建设水平，促进跨部门数据共享和业务协同，为数字政府建设提供坚实可靠的基础支撑。</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0" w:leader="none"/>
        </w:tabs>
        <w:rPr>
          <w:rFonts w:ascii="宋体" w:hAnsi="宋体"/>
          <w:b/>
          <w:bCs/>
          <w:sz w:val="21"/>
        </w:rPr>
      </w:pPr>
      <w:r/>
      <w:bookmarkStart w:id="89" w:name="_Toc6104"/>
      <w:r>
        <w:rPr>
          <w:rFonts w:ascii="宋体" w:hAnsi="宋体"/>
          <w:b/>
          <w:bCs/>
          <w:sz w:val="21"/>
        </w:rPr>
        <w:t xml:space="preserve">1.</w:t>
      </w:r>
      <w:r>
        <w:rPr>
          <w:rFonts w:hint="eastAsia" w:ascii="宋体" w:hAnsi="宋体"/>
          <w:b/>
          <w:bCs/>
          <w:sz w:val="21"/>
        </w:rPr>
        <w:t xml:space="preserve">采购需求</w:t>
      </w:r>
      <w:bookmarkEnd w:id="89"/>
      <w:r/>
      <w:r/>
    </w:p>
    <w:p>
      <w:pPr>
        <w:ind w:left="0" w:firstLine="422"/>
        <w:spacing w:line="360" w:lineRule="auto"/>
        <w:tabs>
          <w:tab w:val="left" w:pos="0" w:leader="none"/>
        </w:tabs>
        <w:rPr>
          <w:rFonts w:ascii="宋体" w:hAnsi="宋体"/>
          <w:b/>
          <w:bCs/>
          <w:sz w:val="21"/>
        </w:rPr>
      </w:pPr>
      <w:r/>
      <w:bookmarkStart w:id="90" w:name="_Toc20383"/>
      <w:r>
        <w:rPr>
          <w:rFonts w:ascii="宋体" w:hAnsi="宋体"/>
          <w:b/>
          <w:bCs/>
          <w:sz w:val="21"/>
        </w:rPr>
        <w:t xml:space="preserve">1.1.</w:t>
      </w:r>
      <w:r>
        <w:rPr>
          <w:rFonts w:hint="eastAsia" w:ascii="宋体" w:hAnsi="宋体"/>
          <w:b/>
          <w:bCs/>
          <w:sz w:val="21"/>
        </w:rPr>
        <w:t xml:space="preserve">采购标的清单</w:t>
      </w:r>
      <w:bookmarkEnd w:id="90"/>
      <w:r/>
      <w:r/>
    </w:p>
    <w:tbl>
      <w:tblPr>
        <w:tblStyle w:val="1024"/>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616"/>
        <w:gridCol w:w="2416"/>
        <w:gridCol w:w="4714"/>
        <w:gridCol w:w="816"/>
        <w:gridCol w:w="1516"/>
      </w:tblGrid>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序号</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云服务小类</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交付资源/服务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单位</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单价最高限价</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云计算资源</w:t>
            </w:r>
            <w:r>
              <w:rPr>
                <w:rFonts w:hint="eastAsia" w:ascii="仿宋_GB2312" w:hAnsi="宋体" w:eastAsia="仿宋_GB2312" w:cs="仿宋_GB2312"/>
                <w:lang w:bidi="ar"/>
              </w:rPr>
              <w:br/>
            </w:r>
            <w:r>
              <w:rPr>
                <w:rFonts w:hint="eastAsia" w:ascii="仿宋_GB2312" w:hAnsi="宋体" w:eastAsia="仿宋_GB2312" w:cs="仿宋_GB2312"/>
                <w:lang w:bidi="ar"/>
              </w:rPr>
              <w:t xml:space="preserve">(完全租赁)</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云服务器（ARM/C86）:4vCPU、4GB内存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168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云服务器（ARM/C86）:4vCPU、8GB内存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240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云服务器（ARM/C86）:4vCPU、16GB内存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384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云服务器（ARM/C86）:8vCPU、8GB内存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336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云服务器（ARM/C86）:8vCPU、16GB内存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480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云服务器（ARM/C86）:8vCPU、32GB内存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768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云服务器（ARM/C86）:16vCPU、16GB内存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672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云服务器（ARM/C86）:16vCPU、32GB内存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960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云服务器（ARM/C86）:16vCPU、64GB内存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1536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云服务器（ARM/C86）:32vCPU、32GB内存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1344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云服务器（ARM/C86）:32vCPU、64GB内存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1920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云服务器（ARM/C86）:32vCPU、128GB内存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3072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云服务器（ARM/C86）增加计算核心</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云服务器（ARM/C86）增加内存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15</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存储资源</w:t>
            </w:r>
            <w:r>
              <w:rPr>
                <w:rFonts w:hint="eastAsia" w:ascii="仿宋_GB2312" w:hAnsi="宋体" w:eastAsia="仿宋_GB2312" w:cs="仿宋_GB2312"/>
                <w:lang w:bidi="ar"/>
              </w:rPr>
              <w:br/>
            </w:r>
            <w:r>
              <w:rPr>
                <w:rFonts w:hint="eastAsia" w:ascii="仿宋_GB2312" w:hAnsi="宋体" w:eastAsia="仿宋_GB2312" w:cs="仿宋_GB2312"/>
                <w:lang w:bidi="ar"/>
              </w:rPr>
              <w:t xml:space="preserve">(完全租赁)</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对象存储服务（SATA），按照分配容量计算。</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文件存储服务（SATA），按照分配容量计算。</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17</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为云主机提供块存储服务，一般IO（SATA）。</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27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为云主机提供块存储服务，高IO（SSD）。</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为云主机提供块存储服务，超高IO（集中式NVMe 全闪存储）。</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专用存储及归档服务。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21</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云容器服务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容器服务。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22</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国产化数据库专用资源池</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数据库专用资源池计算核心</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数据库专用资源池内存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数据库专用资源池存储（RoCE网络全闪SSD）</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25</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数据库统一运营运维管理</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实例</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500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26</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网络服务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互联网出口IP</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个</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27</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互联网出口带宽，提供独享公网带宽</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M</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NAT网关。</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实例</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弹性IP。</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个</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弹性负载均衡。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实例</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IPv6地址转换，为以IPv4提供服务的业务系统进行IPv6的地址转换与安全过滤。</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IP</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500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32</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租户等保二级服务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等保二级基础包，含南北向防火墙300M，主机安全50实例，日志审计50实例</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3600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等保扩展包：WAF，每100M应用层吞吐量</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2500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等保基础包扩容：防火墙扩容-每100M</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260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35</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等保基础包扩容：主机安全扩容-每1虚机</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等保基础包扩容：日志审计扩容-每1虚机</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 元/月</w:t>
            </w:r>
            <w:r/>
          </w:p>
        </w:tc>
      </w:tr>
      <w:tr>
        <w:trPr>
          <w:trHeight w:val="57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37</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租户等保三级服务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等保三级基础包，含南北向防火墙300M，主机安全50实例，日志审计50实例，堡垒机50受管资产（虚拟机+数据库）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4800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等保扩展包：WAF，每100M应用层吞吐量</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2500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等保扩展包：数据库审计，每5个数据库实例</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1450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等保基础包扩容：防火墙扩容-每100M</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260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等保基础包扩容：主机安全扩容-每1虚机</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等保基础包扩容：日志审计扩容-每1虚机</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等保基础包扩容：堡垒机扩容-每10资源</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260 元/月</w:t>
            </w:r>
            <w:r/>
          </w:p>
        </w:tc>
      </w:tr>
      <w:tr>
        <w:trPr>
          <w:trHeight w:val="57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44</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增强型租户等保三级服务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增强型等保三级基础包，含南北向防火墙300M，主机安全50实例，日志审计50实例，堡垒机50受管资产（虚拟机+数据库）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4800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45</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等保扩展包：WAF，每100M应用层吞吐量</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2500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等保扩展包：数据库审计，每5个数据库实例</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1450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47</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等保扩展包：网络检测与响应（探针式），每100个虚拟机</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2550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等保扩展包：漏洞扫描，每50个虚拟机</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等保扩展包：密钥管理服务，每个租户独立使用</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租户</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等保基础包扩容：防火墙扩容-每100M</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260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等保基础包扩容：主机安全扩容-每1虚机</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等保基础包扩容：日志审计扩容-每1虚机</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等保基础包扩容：堡垒机扩容-每10资源</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260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54</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专用安全服务1</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零信任服务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实例</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55</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专用安全服务2</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日志集中管理，起始配置容量10TB，单次增加容量不少于1TB。</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 TB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56</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操作系统</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主流国产操作系统</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57</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中间件服务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主流国产web应用服务器中间件</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535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主流分布式缓存服务，兼容Redis的高速内存数据处理引擎，提供在线分布式缓存能力。</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535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主流分布式消息队列软件</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535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中间件统一管理服务（按照纳管中间件数量计算套数）</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61</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数据库服务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主流国产数据库软件（单机）</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1450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主流国产数据库软件（集群）</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1450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主流国产数据库软件（分布式）</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1450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非关系型数据库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1450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65</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大数据服务</w:t>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Redis，提供基于内存的高性能分布式K-V缓存系统。</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76.56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19.14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67</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Flink，分布式的、高可用的、能保证Exactly Once语义的针对流数据和批数据的处理引擎。</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76.56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19.14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Hbase，提供海量数据存储功能，是一种构建在HDFS之上的分布式、面向列的存储系统。</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81.24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20.31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Hive，建立在Hadoop基础上的开源的数据仓库，提供类似SQL的Hive QL语言操作结构化数据存储服务和基本的数据分析服务。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81.24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20.31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HDFS，Hadoop分布式文件系统，提供高吞吐量的数据访问，适合大规模数据集方面的应用。</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81.24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20.31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75</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Yarn，Hadoop 2.0中的资源管理系统，它是一个通用的资源模块，可以为各类应用程序进行资源管理和调度。</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81.24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20.31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77</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Mapreduce，提供快速并行处理大量数据的能力，是一种分布式数据处理模式和执行环境。</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81.24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20.31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Spark，基于内存进行计算的分布式计算框架。</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81.24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20.31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Kafka，一个分布式的、分区的、多副本的实时消息发布-订阅系统。提供可扩展、高吞吐、低延迟、高可靠的消息分发服务。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105.54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26.38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ElasticSearch，一个兼有搜索引擎和NoSQL数据库功能的开源系统，基于JAVA/Lucene构建，开源、分布式、支持RESTful请求。</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105.54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26.38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85</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restart"/>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数据仓库服务，云上数据仓库服务，具备在线扩展、高效的多源数据加载能力，兼容PostgreSQL生态。</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194.72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vMerge w:val="continue"/>
            <w:textDirection w:val="lrTb"/>
            <w:noWrap w:val="false"/>
          </w:tcPr>
          <w:p>
            <w:pPr>
              <w:jc w:val="left"/>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48.68 元/月</w:t>
            </w:r>
            <w:r/>
          </w:p>
        </w:tc>
      </w:tr>
      <w:tr>
        <w:trPr>
          <w:trHeight w:val="57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87</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人工智能</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智算服务器A，提供192核处理器，1024GB内存；同时提供8块AI处理器，单AI处理器内存配置 ≥ 64GB，提供 ≥ 313 TFLOPS FP16 AI 算力。 （8卡）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40000 元/月</w:t>
            </w:r>
            <w:r/>
          </w:p>
        </w:tc>
      </w:tr>
      <w:tr>
        <w:trPr>
          <w:trHeight w:val="57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智算服务器B，提供192核处理器，1024GB内存；同时提供8块AI处理器，单AI处理器内存配置 ≥ 64GB，提供 ≥ 280 TFLOPS FP16 AI 算力。 （8卡）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32800 元/月</w:t>
            </w:r>
            <w:r/>
          </w:p>
        </w:tc>
      </w:tr>
      <w:tr>
        <w:trPr>
          <w:trHeight w:val="57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智算服务器C，提供128核处理器，512内存；同时提供6块AI处理器，单AI处理器内存配置 ≥ 48GB，提供 ≥ 70 TFLOPS FP16 AI 算力。 （6卡）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8800 元/月</w:t>
            </w:r>
            <w:r/>
          </w:p>
        </w:tc>
      </w:tr>
      <w:tr>
        <w:trPr>
          <w:trHeight w:val="54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ascii="仿宋_GB2312" w:hAnsi="宋体" w:eastAsia="仿宋_GB2312" w:cs="仿宋_GB2312"/>
                <w:lang w:bidi="ar"/>
              </w:rPr>
              <w:t xml:space="preserve">智算服务器D，提供96核处理器，1024GB内存；单AI处理器显存配置 ≥ 96GB</w:t>
            </w:r>
            <w:r>
              <w:rPr>
                <w:rStyle w:val="1459"/>
                <w:rFonts w:hint="default" w:hAnsi="宋体"/>
                <w:color w:val="auto"/>
                <w:lang w:bidi="ar"/>
              </w:rPr>
              <w:t xml:space="preserve">，提供 ≥ </w:t>
            </w:r>
            <w:r>
              <w:rPr>
                <w:rStyle w:val="1460"/>
                <w:color w:val="auto"/>
                <w:lang w:bidi="ar"/>
              </w:rPr>
              <w:t xml:space="preserve">140</w:t>
            </w:r>
            <w:r>
              <w:rPr>
                <w:rStyle w:val="1459"/>
                <w:rFonts w:hint="default" w:hAnsi="宋体"/>
                <w:color w:val="auto"/>
                <w:lang w:bidi="ar"/>
              </w:rPr>
              <w:t xml:space="preserve"> TFLOPS FP16 AI 算力。（8卡）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13123.6 元/月</w:t>
            </w:r>
            <w:r/>
          </w:p>
        </w:tc>
      </w:tr>
      <w:tr>
        <w:trPr>
          <w:trHeight w:val="57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AI专家咨询服务，提供数据治理、大语言模型微调与优化、模型评测与智能体开发等人工智能专业咨询服务。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人·天</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3000 元</w:t>
            </w:r>
            <w:r/>
          </w:p>
        </w:tc>
      </w:tr>
      <w:tr>
        <w:trPr>
          <w:trHeight w:val="57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AI使能服务，为租户提供AI集群规划及调优服务，模型适配支持服务，远程AI开发使用支持服务。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人·月</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16000 元</w:t>
            </w:r>
            <w:r/>
          </w:p>
        </w:tc>
      </w:tr>
      <w:tr>
        <w:trPr>
          <w:trHeight w:val="85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AI工具服务，为租户提供低代码开发工具与丰富的功能模块，帮助开发者快速构建、部署和管理满足各类场景的智能应用。模型工具服务包括常见模型的支持、直观的 Prompt 编排界面、高质量的 RAG 引擎、稳健的 Agent 框架、灵活的流程编排，同时提供一套易用的界面和 API。</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28600 元/月</w:t>
            </w:r>
            <w:r/>
          </w:p>
        </w:tc>
      </w:tr>
      <w:tr>
        <w:trPr>
          <w:trHeight w:val="85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AI助手租用服务，为租户提供一站式智能办公解决方案与丰富的功能应用，帮助用户高效完成、优化和创新日常工作中的各类任务。AI助手服务核心包含智能问答、公文写作、文件处理、会议工具与知识管理，同时提供一套简洁易用的操作pc端界面和移动端界面。</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套</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64762.5 元/月</w:t>
            </w:r>
            <w:r/>
          </w:p>
        </w:tc>
      </w:tr>
      <w:tr>
        <w:trPr>
          <w:trHeight w:val="57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95</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单数据中心备份服务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云服务器备份服务，云服务器备份可为弹性云服务器和裸金属服务器创建备份（备份内容包括弹性云服务器和裸金属服务器的配置规格，系统盘和数据盘的数据）。</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25 元/月</w:t>
            </w:r>
            <w:r/>
          </w:p>
        </w:tc>
      </w:tr>
      <w:tr>
        <w:trPr>
          <w:trHeight w:val="570"/>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云硬盘备份服务，云硬盘备份服务可为云硬盘创建备份，利用备份数据恢复云硬盘，最大限度保障用户数据的安全性和正确性，确保业务安全。</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97</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数据库备份，备份数据库数据，定期备份。</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业务数据备份，对业务数据进行本数据中心内的CDP备份。</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99</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迁移适配资源</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云计算核心</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云计算内存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对象存储（SATA）</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文件存储（SATA）</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8.5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一般IO存储（SATA）</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27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高IO存储（SSD）</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105</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迁移适配服务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业务系统国产化迁移适配支持服务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人·天</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1500 元</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106</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用云支持服务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业务系统上云用云支持、数据库部署及性能调优支持、系统备份和容灾部署支持等技术支持服务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人·天</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1500 元</w:t>
            </w:r>
            <w:r/>
          </w:p>
        </w:tc>
      </w:tr>
      <w:tr>
        <w:trPr>
          <w:trHeight w:val="85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107</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重点保障-安全值守服务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在日常值守的基础上增加每天10次人工巡检查看网站访问情况、应急处置、安全事件验证、分析、事件报告等内容。24小时系统截图、安全事件分析报告、值班报告等。提供工作日5*8小时服务，如遇特殊日期（周末、法定节假日）按照双倍或三倍计费。</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人·天</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1000 元</w:t>
            </w:r>
            <w:r/>
          </w:p>
        </w:tc>
      </w:tr>
      <w:tr>
        <w:trPr>
          <w:trHeight w:val="85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108</w:t>
            </w:r>
            <w:r/>
          </w:p>
        </w:tc>
        <w:tc>
          <w:tcPr>
            <w:tcBorders>
              <w:top w:val="single" w:color="000000" w:sz="4" w:space="0"/>
              <w:left w:val="single" w:color="000000" w:sz="4" w:space="0"/>
              <w:bottom w:val="single" w:color="000000" w:sz="4" w:space="0"/>
              <w:right w:val="single" w:color="000000" w:sz="4" w:space="0"/>
            </w:tcBorders>
            <w:tcW w:w="87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重点保障－安全专家服务</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提供与安全相关的人工服务，安全隐患分析、安全培训、应急处置服务、木马病毒分析、日志隐患分析等服务。分析报告、人工协助解决隐患、解决方案等；提供工作日5*8小时服务，如遇特殊日期（周末、法定节假日）按照双倍或三倍计费。</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人·天</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2000 元</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109</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云计算资源</w:t>
            </w:r>
            <w:r>
              <w:rPr>
                <w:rFonts w:hint="eastAsia" w:ascii="仿宋_GB2312" w:hAnsi="宋体" w:eastAsia="仿宋_GB2312" w:cs="仿宋_GB2312"/>
                <w:lang w:bidi="ar"/>
              </w:rPr>
              <w:br/>
            </w:r>
            <w:r>
              <w:rPr>
                <w:rFonts w:hint="eastAsia" w:ascii="仿宋_GB2312" w:hAnsi="宋体" w:eastAsia="仿宋_GB2312" w:cs="仿宋_GB2312"/>
                <w:lang w:bidi="ar"/>
              </w:rPr>
              <w:t xml:space="preserve">(计算服务器统采)</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云服务器（ARM/C86）:4vCPU、4GB内存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117.6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云服务器（ARM/C86）:4vCPU、8GB内存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168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云服务器（ARM/C86）:4vCPU、16GB内存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268.8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云服务器（ARM/C86）:8vCPU、8GB内存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235.2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113</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云服务器（ARM/C86）:8vCPU、16GB内存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336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云服务器（ARM/C86）:8vCPU、32GB内存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537.6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115</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云服务器（ARM/C86）:16vCPU、16GB内存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470.4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云服务器（ARM/C86）:16vCPU、32GB内存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672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117</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云服务器（ARM/C86）:16vCPU、64GB内存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1075.2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118</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云服务器（ARM/C86）:32vCPU、32GB内存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940.8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119</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云服务器（ARM/C86）:32vCPU、64GB内存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1344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120</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云服务器（ARM/C86）:32vCPU、128GB内存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台</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2150.4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121</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云服务器（ARM/C86）增加计算核心</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vCPU</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16.8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122</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云服务器（ARM/C86）增加内存</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12.6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123</w:t>
            </w:r>
            <w:r/>
          </w:p>
        </w:tc>
        <w:tc>
          <w:tcPr>
            <w:tcBorders>
              <w:top w:val="single" w:color="000000" w:sz="4" w:space="0"/>
              <w:left w:val="single" w:color="000000" w:sz="4" w:space="0"/>
              <w:bottom w:val="single" w:color="000000" w:sz="4" w:space="0"/>
              <w:right w:val="single" w:color="000000" w:sz="4" w:space="0"/>
            </w:tcBorders>
            <w:tcW w:w="870" w:type="pct"/>
            <w:vAlign w:val="center"/>
            <w:vMerge w:val="restart"/>
            <w:textDirection w:val="lrTb"/>
            <w:noWrap w:val="false"/>
          </w:tcPr>
          <w:p>
            <w:pPr>
              <w:ind w:left="0"/>
              <w:jc w:val="center"/>
              <w:rPr>
                <w:rFonts w:ascii="仿宋_GB2312" w:hAnsi="宋体" w:eastAsia="仿宋_GB2312" w:cs="仿宋_GB2312"/>
              </w:rPr>
            </w:pPr>
            <w:r>
              <w:rPr>
                <w:rFonts w:hint="eastAsia" w:ascii="仿宋_GB2312" w:hAnsi="宋体" w:eastAsia="仿宋_GB2312" w:cs="仿宋_GB2312"/>
                <w:lang w:bidi="ar"/>
              </w:rPr>
              <w:t xml:space="preserve">存储资源</w:t>
            </w:r>
            <w:r>
              <w:rPr>
                <w:rFonts w:hint="eastAsia" w:ascii="仿宋_GB2312" w:hAnsi="宋体" w:eastAsia="仿宋_GB2312" w:cs="仿宋_GB2312"/>
                <w:lang w:bidi="ar"/>
              </w:rPr>
              <w:br/>
            </w:r>
            <w:r>
              <w:rPr>
                <w:rFonts w:hint="eastAsia" w:ascii="仿宋_GB2312" w:hAnsi="宋体" w:eastAsia="仿宋_GB2312" w:cs="仿宋_GB2312"/>
                <w:lang w:bidi="ar"/>
              </w:rPr>
              <w:t xml:space="preserve">(存储设备统采)</w:t>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利用统采存储设备（SATA、鲲鹏）提供对象存储服务，按照分配容量计算。</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4.25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124</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利用统采存储设备（SATA、非鲲鹏）提供对象存储服务，按照分配容量计算。</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7.08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125</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利用统采存储设备（SATA）提供文件存储服务，按照分配容量计算。</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4.25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126</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利用统采存储设备（SATA、仅支持鲲鹏）为云主机提供块存储服务，一般IO。</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6 元/月</w:t>
            </w:r>
            <w:r/>
          </w:p>
        </w:tc>
      </w:tr>
      <w:tr>
        <w:trPr>
          <w:trHeight w:val="405"/>
        </w:trPr>
        <w:tc>
          <w:tcPr>
            <w:tcBorders>
              <w:top w:val="single" w:color="000000" w:sz="4" w:space="0"/>
              <w:left w:val="single" w:color="000000" w:sz="4" w:space="0"/>
              <w:bottom w:val="single" w:color="000000" w:sz="4" w:space="0"/>
              <w:right w:val="single" w:color="000000" w:sz="4" w:space="0"/>
            </w:tcBorders>
            <w:tcW w:w="208"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127</w:t>
            </w:r>
            <w:r/>
          </w:p>
        </w:tc>
        <w:tc>
          <w:tcPr>
            <w:tcBorders>
              <w:top w:val="single" w:color="000000" w:sz="4" w:space="0"/>
              <w:left w:val="single" w:color="000000" w:sz="4" w:space="0"/>
              <w:bottom w:val="single" w:color="000000" w:sz="4" w:space="0"/>
              <w:right w:val="single" w:color="000000" w:sz="4" w:space="0"/>
            </w:tcBorders>
            <w:tcW w:w="870" w:type="pct"/>
            <w:vAlign w:val="center"/>
            <w:vMerge w:val="continue"/>
            <w:textDirection w:val="lrTb"/>
            <w:noWrap w:val="false"/>
          </w:tcPr>
          <w:p>
            <w:pPr>
              <w:jc w:val="center"/>
              <w:rPr>
                <w:rFonts w:ascii="仿宋_GB2312" w:hAnsi="宋体" w:eastAsia="仿宋_GB2312" w:cs="仿宋_GB2312"/>
              </w:rPr>
            </w:pPr>
            <w:r>
              <w:rPr>
                <w:rFonts w:ascii="仿宋_GB2312" w:hAnsi="宋体" w:eastAsia="仿宋_GB2312" w:cs="仿宋_GB2312"/>
              </w:rPr>
            </w:r>
            <w:r/>
          </w:p>
        </w:tc>
        <w:tc>
          <w:tcPr>
            <w:tcBorders>
              <w:top w:val="single" w:color="000000" w:sz="4" w:space="0"/>
              <w:left w:val="single" w:color="000000" w:sz="4" w:space="0"/>
              <w:bottom w:val="single" w:color="000000" w:sz="4" w:space="0"/>
              <w:right w:val="single" w:color="000000" w:sz="4" w:space="0"/>
            </w:tcBorders>
            <w:tcW w:w="3106" w:type="pct"/>
            <w:vAlign w:val="center"/>
            <w:textDirection w:val="lrTb"/>
            <w:noWrap w:val="false"/>
          </w:tcPr>
          <w:p>
            <w:pPr>
              <w:ind w:left="0"/>
              <w:jc w:val="left"/>
              <w:rPr>
                <w:rFonts w:ascii="仿宋_GB2312" w:hAnsi="宋体" w:eastAsia="仿宋_GB2312" w:cs="仿宋_GB2312"/>
              </w:rPr>
            </w:pPr>
            <w:r>
              <w:rPr>
                <w:rFonts w:hint="eastAsia" w:ascii="仿宋_GB2312" w:hAnsi="宋体" w:eastAsia="仿宋_GB2312" w:cs="仿宋_GB2312"/>
                <w:lang w:bidi="ar"/>
              </w:rPr>
              <w:t xml:space="preserve">利用统采存储设备（SSD、仅支持鲲鹏）为云主机提供块存储服务，高IO。</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100GB</w:t>
            </w:r>
            <w:r/>
          </w:p>
        </w:tc>
        <w:tc>
          <w:tcPr>
            <w:tcBorders>
              <w:top w:val="single" w:color="000000" w:sz="4" w:space="0"/>
              <w:left w:val="single" w:color="000000" w:sz="4" w:space="0"/>
              <w:bottom w:val="single" w:color="000000" w:sz="4" w:space="0"/>
              <w:right w:val="single" w:color="000000" w:sz="4" w:space="0"/>
            </w:tcBorders>
            <w:tcW w:w="533" w:type="pct"/>
            <w:vAlign w:val="center"/>
            <w:textDirection w:val="lrTb"/>
            <w:noWrap/>
          </w:tcPr>
          <w:p>
            <w:pPr>
              <w:ind w:left="0"/>
              <w:jc w:val="center"/>
              <w:rPr>
                <w:rFonts w:ascii="仿宋_GB2312" w:hAnsi="宋体" w:eastAsia="仿宋_GB2312" w:cs="仿宋_GB2312"/>
              </w:rPr>
            </w:pPr>
            <w:r>
              <w:rPr>
                <w:rFonts w:hint="eastAsia" w:ascii="仿宋_GB2312" w:hAnsi="宋体" w:eastAsia="仿宋_GB2312" w:cs="仿宋_GB2312"/>
                <w:lang w:bidi="ar"/>
              </w:rPr>
              <w:t xml:space="preserve">9.8 元/月</w:t>
            </w:r>
            <w:r/>
          </w:p>
        </w:tc>
      </w:tr>
    </w:tbl>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w:t>
      </w:r>
      <w:r>
        <w:rPr>
          <w:rFonts w:hint="eastAsia" w:ascii="宋体" w:hAnsi="宋体"/>
          <w:b/>
          <w:bCs/>
          <w:sz w:val="21"/>
          <w:szCs w:val="21"/>
        </w:rPr>
        <w:t xml:space="preserve">技术要求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技术要求是指对采购标的功能和质量要求，包括性能、材料、结构、外观、安全，或者服务内容和标准等。本技术要求是基本要求，投标响应可优于本技术要求。如果中标人（以下称为“云服务商”）实际提供给采购人的云服务不满足本技术要求或不符合投标响应，采购人将按照招标文件要求对云服务商的服务质量进行考核并有权责令云服务商进行整改，如云服务商拒绝整改，采购人有权终止合同，由此造成的一切责任和后果由云服务商承担。</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（一）采购标的需实现的功能或者目标，以及为落实政府采购政策需满足的要求；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本次项目由市级统筹组织云服务采购，确定云服务商及云服务清单、价格，各县(市、区)根据自身实际按需购买云服务。主要实现目标为：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建设符合工信部《基于云计算的电子政务公共平台总体规范》、《信息安全技术云计算服务安全指南》和《信息安全技术云计算服务安全能力要求》、《江苏省政务“一朵云”建设总体方案》等国家及行业标准、规范的苏州市国产化政务云资源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（2）增强政务云服务能力，应具备</w:t>
      </w:r>
      <w:r>
        <w:rPr>
          <w:rFonts w:ascii="宋体" w:hAnsi="宋体" w:cs="Times New Roman"/>
          <w:sz w:val="21"/>
          <w:szCs w:val="21"/>
        </w:rPr>
        <w:t xml:space="preserve">IaaS、PaaS、SaaS</w:t>
      </w:r>
      <w:r>
        <w:rPr>
          <w:rFonts w:hint="eastAsia" w:ascii="宋体" w:hAnsi="宋体" w:cs="Times New Roman"/>
          <w:sz w:val="21"/>
          <w:szCs w:val="21"/>
        </w:rPr>
        <w:t xml:space="preserve">、租户安全资源池等服务能力，建设政务云安全管理体系和运维管理体系，为上云政务应用系统稳定运行提供全面支撑。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由云服务商建设符合招标文件要求的苏州市国产化政务云资源池，云服务商应在苏州市政务云主管单位及运行管理机构的指导下构建统一完整的政务云服务体系。服务上线后，各县(市、区)使用单位根据资源使用需求按量支付服务费用。</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1.2.1.</w:t>
      </w:r>
      <w:r>
        <w:rPr>
          <w:rFonts w:hint="eastAsia" w:ascii="宋体" w:hAnsi="宋体"/>
          <w:b/>
          <w:bCs/>
          <w:sz w:val="21"/>
          <w:szCs w:val="21"/>
        </w:rPr>
        <w:t xml:space="preserve">总体架构要求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根</w:t>
      </w:r>
      <w:r>
        <w:rPr>
          <w:rFonts w:hint="eastAsia" w:ascii="宋体" w:hAnsi="宋体" w:cs="Times New Roman"/>
          <w:sz w:val="21"/>
          <w:szCs w:val="21"/>
        </w:rPr>
        <w:t xml:space="preserve">据《江苏省政务“一朵云”建设总体方案》要求，本次采购旨在实现苏州全市政务“一朵云”架构，故本次云服务项目要求云服务商基于苏州市国产化政务云建设资源池提供云服务，形成江苏省政务“一朵云”苏州市国产化政务云骨干节点，实现苏州市国产化政务云统一平台、统一管理、统一运营（苏州市国产化政务云指项目编号为SZJC2023-G-286中的国产化政务云，以下统称苏州市国产化政务云）。根据《江苏省政务“一朵云”建设总体方案》要求，资源池分为电子政务外网和互联网两个区域，两个区域间通过安全数据交换实现不同区域间的数据安全交换。</w:t>
      </w:r>
      <w:r/>
    </w:p>
    <w:p>
      <w:pPr>
        <w:ind w:left="0" w:firstLine="422"/>
        <w:spacing w:line="360" w:lineRule="auto"/>
        <w:tabs>
          <w:tab w:val="left" w:pos="0" w:leader="none"/>
        </w:tabs>
        <w:rPr>
          <w:rFonts w:ascii="宋体" w:hAnsi="宋体" w:cs="Times New Roman"/>
          <w:b/>
          <w:sz w:val="21"/>
          <w:szCs w:val="21"/>
        </w:rPr>
      </w:pPr>
      <w:r>
        <w:rPr>
          <w:rFonts w:hint="eastAsia" w:ascii="宋体" w:hAnsi="宋体" w:cs="Times New Roman"/>
          <w:b/>
          <w:sz w:val="21"/>
          <w:szCs w:val="21"/>
        </w:rPr>
        <w:t xml:space="preserve">1.2.2云服务专用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本次招标要求投标人必须确保政务云平台的专用性，具体包括：资源专用（云平台专用于提供苏州市政务云租赁服务，所有软硬件资源仅限于采购人确定的云服务范围内单位使用，承载全市非涉密政务信息系统，不得将政务云平台资源及相应服务与其它业务共用）、队伍专用（投标人需配备专门的、具备国产化云运维经验的运维管理团队，未经采购人同意，不得随意变动和调用）。</w:t>
      </w:r>
      <w:r/>
    </w:p>
    <w:p>
      <w:pPr>
        <w:ind w:left="0" w:firstLine="422"/>
        <w:spacing w:line="360" w:lineRule="auto"/>
        <w:tabs>
          <w:tab w:val="left" w:pos="0" w:leader="none"/>
        </w:tabs>
        <w:rPr>
          <w:rFonts w:ascii="宋体" w:hAnsi="宋体" w:cs="Times New Roman"/>
          <w:sz w:val="21"/>
          <w:szCs w:val="21"/>
        </w:rPr>
      </w:pPr>
      <w:r>
        <w:rPr>
          <w:rFonts w:hint="eastAsia" w:ascii="宋体" w:hAnsi="宋体"/>
          <w:b/>
          <w:sz w:val="21"/>
          <w:szCs w:val="21"/>
        </w:rPr>
        <w:t xml:space="preserve">注：1.2.2云服务专用为实质性条款，投标文件中应提供云服务专用（资源专用、队伍专用）相应承诺函(格式自拟)并加盖投标单位公章，未提供、未按要求提供视为非实质性响应，按无效投标处理。</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w:t>
      </w:r>
      <w:r>
        <w:rPr>
          <w:rFonts w:hint="eastAsia" w:ascii="宋体" w:hAnsi="宋体"/>
          <w:b/>
          <w:bCs/>
          <w:sz w:val="21"/>
          <w:szCs w:val="21"/>
        </w:rPr>
        <w:t xml:space="preserve">3</w:t>
      </w:r>
      <w:r>
        <w:rPr>
          <w:rFonts w:ascii="宋体" w:hAnsi="宋体"/>
          <w:b/>
          <w:bCs/>
          <w:sz w:val="21"/>
          <w:szCs w:val="21"/>
        </w:rPr>
        <w:t xml:space="preserve">.</w:t>
      </w:r>
      <w:r>
        <w:rPr>
          <w:rFonts w:hint="eastAsia" w:ascii="宋体" w:hAnsi="宋体"/>
          <w:b/>
          <w:bCs/>
          <w:sz w:val="21"/>
          <w:szCs w:val="21"/>
        </w:rPr>
        <w:t xml:space="preserve">云服务商要求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云服务商提供的云服务应能提供包括计算服务、存储服务、网络服务、安全服务等服务能力。云资源建设须按照网络安全等级保护2.0三级和商用密码应用安全性评估等标准进行建设。</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运维能力：云服务商需具备对云基础设施、平台软件提供集中运维管理、监控的能力，包括虚拟化、服务器、存储、网络、安全等，可以实现资源利用率可视化，实现对政务云中出现的事件、问题和故障定位，实现事前预测及告警、事中及时处理和事后可审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安全责任：云服务商承担机房基础设施层面（主要包括机房风火水电）、云资源层面（主要包括物理资源、计算资源、存储资源、网络资源、安全资源）的安全责任；具备实时监控各项云资源运行状态的能力；有义务配合使用单位排查上云业务系统问题。</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数据保护：部署在云资源池内的各部门业务系统、所有数据的所有权及使用权均属于使用单位，云服务商无权对其进行支配，未经允许不得对云资源池的任何数据进行非法截取、加工、分析处理或提供给第三方机构。若发现云服务商未经许可对业务系统和数据进行采集和使用，采购人将对其采取惩罚措施并追究其法律责任。</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应急演练：云服务商需建立应急保障体系，定期开展演练工作，保障灾难发生时，能够保留数据、恢复数据。指导或协助使用单位开展业务系统应急演练、处置等工作。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开放接口：云服务商必须按照政务云管理单位要求开放云计算相关平台接口。云服务商需接受包括第三方检测、调解，对政务云管理单位的合理要求需给予配合。</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迁移支持:中标云服务商在本项目服务期满后，应根据采购人需要，配合完成相关迁移工作（包括但不限于：云虚拟机迁移、业务数据迁移、云管理日志数据迁移等）。</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w:t>
      </w:r>
      <w:r>
        <w:rPr>
          <w:rFonts w:hint="eastAsia" w:ascii="宋体" w:hAnsi="宋体"/>
          <w:b/>
          <w:bCs/>
          <w:sz w:val="21"/>
          <w:szCs w:val="21"/>
        </w:rPr>
        <w:t xml:space="preserve">4</w:t>
      </w:r>
      <w:r>
        <w:rPr>
          <w:rFonts w:ascii="宋体" w:hAnsi="宋体"/>
          <w:b/>
          <w:bCs/>
          <w:sz w:val="21"/>
          <w:szCs w:val="21"/>
        </w:rPr>
        <w:t xml:space="preserve">.</w:t>
      </w:r>
      <w:r>
        <w:rPr>
          <w:rFonts w:hint="eastAsia" w:ascii="宋体" w:hAnsi="宋体"/>
          <w:b/>
          <w:bCs/>
          <w:sz w:val="21"/>
          <w:szCs w:val="21"/>
        </w:rPr>
        <w:t xml:space="preserve">云资源池要求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苏州市政务“一朵云”服务采购项目以安全可靠为原则，构建支持C86、ARM等主流国产芯片的多技术路线政务云环境，为各业务系统提供所需要的云资源服务。支持主流国产操作系统、数据库、中间件</w:t>
      </w:r>
      <w:bookmarkStart w:id="111" w:name="_GoBack"/>
      <w:r/>
      <w:bookmarkEnd w:id="111"/>
      <w:r>
        <w:rPr>
          <w:rFonts w:hint="eastAsia" w:ascii="宋体" w:hAnsi="宋体" w:cs="Times New Roman"/>
          <w:sz w:val="21"/>
          <w:szCs w:val="21"/>
        </w:rPr>
        <w:t xml:space="preserve">云上适配及部署。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资源池包括政务外网区和互联网区两个区域，两个区域的计算、存储、网络、安全防护等须独立建设，跨区域访问需通过安全隔离交换系统实现数据安全交换。政务外网区依托苏州市市级电子政务外网部署，互联网区依托互联网部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云资源池应充分考虑计算、存储、网络等节点的可靠性与健壮性，云内关键节点均须部署主备或双活冗余架构，确保服务连续性。</w:t>
      </w:r>
      <w:r/>
    </w:p>
    <w:p>
      <w:pPr>
        <w:ind w:left="0" w:firstLine="422"/>
        <w:spacing w:line="360" w:lineRule="auto"/>
        <w:widowControl w:val="off"/>
        <w:rPr>
          <w:rFonts w:ascii="宋体" w:hAnsi="宋体"/>
          <w:b/>
          <w:bCs/>
          <w:sz w:val="21"/>
          <w:szCs w:val="21"/>
        </w:rPr>
      </w:pPr>
      <w:r>
        <w:rPr>
          <w:rFonts w:ascii="宋体" w:hAnsi="宋体"/>
          <w:b/>
          <w:bCs/>
          <w:sz w:val="21"/>
          <w:szCs w:val="21"/>
        </w:rPr>
        <w:t xml:space="preserve">1.2.</w:t>
      </w:r>
      <w:r>
        <w:rPr>
          <w:rFonts w:hint="eastAsia" w:ascii="宋体" w:hAnsi="宋体"/>
          <w:b/>
          <w:bCs/>
          <w:sz w:val="21"/>
          <w:szCs w:val="21"/>
        </w:rPr>
        <w:t xml:space="preserve">5</w:t>
      </w:r>
      <w:r>
        <w:rPr>
          <w:rFonts w:ascii="宋体" w:hAnsi="宋体"/>
          <w:b/>
          <w:bCs/>
          <w:sz w:val="21"/>
          <w:szCs w:val="21"/>
        </w:rPr>
        <w:t xml:space="preserve">.</w:t>
      </w:r>
      <w:r>
        <w:rPr>
          <w:rFonts w:hint="eastAsia" w:ascii="宋体" w:hAnsi="宋体"/>
          <w:b/>
          <w:bCs/>
          <w:sz w:val="21"/>
          <w:szCs w:val="21"/>
        </w:rPr>
        <w:t xml:space="preserve">云平台安全要求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云平台安全应满足GB/T 31167-2023、GB/T 31168-2023、GW0013-2017、GB/T 22239-2019、GB/T 25058-2019、GB/T 39786-2021等标准规范要求。云平台使用的密码相</w:t>
      </w:r>
      <w:r>
        <w:rPr>
          <w:rFonts w:hint="eastAsia" w:ascii="宋体" w:hAnsi="宋体" w:cs="Times New Roman"/>
          <w:sz w:val="21"/>
          <w:szCs w:val="21"/>
        </w:rPr>
        <w:t xml:space="preserve">关的软硬件产品和服务，符合《中华人民共和国密码法》相关要求，云平台使用的网络安全专用产品符合国家互联网信息办公室、工业和信息化部、公安部、财政部、国家认证认可监督管理委员会《关于调整网络安全专用产品安全管理有关事项的公告》（2023年第1号）的相关要求。云平台密码应用与密码应用安全性评估符合《政务“一朵云”安全管理体系规范 第2部分：密码应用技术要求》（DB32／T 5073.2-2025）、《政务“一朵云”安全管理体系规范 第3部分：密码应用安全性评估》（DB32／T 5073.3-2025）等地方标准。</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1.2.6.服务内容</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w:t>
      </w:r>
      <w:r>
        <w:rPr>
          <w:rFonts w:hint="eastAsia" w:ascii="宋体" w:hAnsi="宋体"/>
          <w:b/>
          <w:bCs/>
          <w:sz w:val="21"/>
          <w:szCs w:val="21"/>
        </w:rPr>
        <w:t xml:space="preserve">计算服务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云平台各资源池使用独立的物理服务器，所有服务器至少万兆接入，计算节点和存储节点与交换设备实现双连接接入。采用主流虚拟化技术路线。所有共享型实例的vCPU与物理核心分配比例不超过3:1。</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物理服务器采用的CPU均通过中国信息安全测评中心组织的安全可靠测评。</w:t>
      </w:r>
      <w:r/>
    </w:p>
    <w:p>
      <w:pPr>
        <w:ind w:left="0" w:firstLine="422"/>
        <w:spacing w:line="360" w:lineRule="auto"/>
        <w:tabs>
          <w:tab w:val="left" w:pos="0" w:leader="none"/>
        </w:tabs>
        <w:rPr>
          <w:rFonts w:ascii="宋体" w:hAnsi="宋体" w:cs="Times New Roman"/>
          <w:sz w:val="21"/>
          <w:szCs w:val="21"/>
        </w:rPr>
      </w:pPr>
      <w:r>
        <w:rPr>
          <w:rFonts w:hint="eastAsia" w:ascii="宋体" w:hAnsi="宋体"/>
          <w:b/>
          <w:sz w:val="21"/>
          <w:szCs w:val="21"/>
        </w:rPr>
        <w:t xml:space="preserve">注：投标文件中应提供物理服务器CPU型号证明文件及对应的安全可靠测评截图并加盖投标单位公章，未提供、未按要求提供视为非实质性响应，按无效投标处理。</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1.1.</w:t>
      </w:r>
      <w:r>
        <w:rPr>
          <w:rFonts w:hint="eastAsia" w:ascii="宋体" w:hAnsi="宋体"/>
          <w:b/>
          <w:bCs/>
          <w:sz w:val="21"/>
          <w:szCs w:val="21"/>
        </w:rPr>
        <w:t xml:space="preserve">云主机</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云主机（虚拟机）服务。可根据使用单位的实际需求，可提供基于C86、ARM等主流技术路线CPU的弹性云主机服务。提供常见CPU、内存规格的虚拟机和基于常见CPU、内存规格虚拟机的定制化配置，支持虚拟机网络带宽、硬盘空间的定制化配置，并可通过平台对虚拟机进行创建、启动、停止、删除、快照、备份、恢复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同时云服务商所提供的云主机（虚拟机）服务，可使用采购人所提供的统采设备配合其他所需资源进行构建。</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1.2.</w:t>
      </w:r>
      <w:r>
        <w:rPr>
          <w:rFonts w:hint="eastAsia" w:ascii="宋体" w:hAnsi="宋体"/>
          <w:b/>
          <w:bCs/>
          <w:sz w:val="21"/>
          <w:szCs w:val="21"/>
        </w:rPr>
        <w:t xml:space="preserve">云容器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云容器引擎提供高可靠、高性能的企业级容器应用管理服务，通过标准化容器交付和自动化编排支持云原生应用和工具的使用，实现应用的全生命周期管理，简化云上自动化容器运行环境构建与维护。</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1.3.</w:t>
      </w:r>
      <w:r>
        <w:rPr>
          <w:rFonts w:hint="eastAsia" w:ascii="宋体" w:hAnsi="宋体"/>
          <w:b/>
          <w:bCs/>
          <w:sz w:val="21"/>
          <w:szCs w:val="21"/>
        </w:rPr>
        <w:t xml:space="preserve">人工智能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为满足大模型训练和推理的智算需求，此次项目需建设高性能GPU智能算力资源池为使用单位提供人工</w:t>
      </w:r>
      <w:r>
        <w:rPr>
          <w:rFonts w:hint="eastAsia" w:ascii="宋体" w:hAnsi="宋体" w:cs="Times New Roman"/>
          <w:sz w:val="21"/>
          <w:szCs w:val="21"/>
        </w:rPr>
        <w:t xml:space="preserve">智能算力支撑。支持国产化算力服务能力，提供智算服务器供用户使用；支持AI专家咨询服务能力，提供数据治理、大语言模型微调与优化、模型评测与智能体开发等人工智能专业咨询服务；支持AI使能服务能力，提供人工智能应用过程中的AI集群规划及调优服务，模型适配支持服务，远程AI开发使用支持服务；支持AI工具服务能力，提供低代码开发工具与丰富的功能模块，帮助开发者快速构建、部署和管理满足各类场景的智能应用；支持AI助手服务能力，提供一站式智能办公解决方案与丰富的功能应用，帮助用户高效完成、优化和创新日常工作中的各类任务。</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1.4.</w:t>
      </w:r>
      <w:r>
        <w:rPr>
          <w:rFonts w:hint="eastAsia" w:ascii="宋体" w:hAnsi="宋体"/>
          <w:b/>
          <w:bCs/>
          <w:sz w:val="21"/>
          <w:szCs w:val="21"/>
        </w:rPr>
        <w:t xml:space="preserve">国产化数据库专用资源池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国产化数据库专用资源池可根据使用单位的实际需求，提供不同规格的基于C86、ARM等主流技术路线CPU的国产化数据库专用计算资源和基于高性能存储节点构建的分布式存储资源。同时针对国产数据库的日常运维管理需求，进行国产化数据库的统一运维管理，实现国产数据库的自动下发、实时监控、智能巡检和性能容量分析。</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2.</w:t>
      </w:r>
      <w:r>
        <w:rPr>
          <w:rFonts w:hint="eastAsia" w:ascii="宋体" w:hAnsi="宋体"/>
          <w:b/>
          <w:bCs/>
          <w:sz w:val="21"/>
          <w:szCs w:val="21"/>
        </w:rPr>
        <w:t xml:space="preserve">存储服务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块存储、对象存储和文件存储服务，适配不同的业务场景。存储节点与网络设备实现双连接接入，不得存在单点隐患。政务外网区与互联网区使用独立的存储系统构建存储资源池，保证数据隔离及安全。所支撑的硬件设备配置冗余电源和风扇。同时云服务商所提供的存储服务，可使用采购人所提供的统采设备配合其他所需资源进行构建。</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存储服务器采用的CPU均通过中国信息安全测评中心组织的安全可靠测评。</w:t>
      </w:r>
      <w:r/>
    </w:p>
    <w:p>
      <w:pPr>
        <w:ind w:left="0" w:firstLine="422"/>
        <w:spacing w:line="360" w:lineRule="auto"/>
        <w:tabs>
          <w:tab w:val="left" w:pos="0" w:leader="none"/>
        </w:tabs>
        <w:rPr>
          <w:rFonts w:ascii="宋体" w:hAnsi="宋体" w:cs="Times New Roman"/>
          <w:sz w:val="21"/>
          <w:szCs w:val="21"/>
        </w:rPr>
      </w:pPr>
      <w:r>
        <w:rPr>
          <w:rFonts w:hint="eastAsia" w:ascii="宋体" w:hAnsi="宋体"/>
          <w:b/>
          <w:sz w:val="21"/>
          <w:szCs w:val="21"/>
        </w:rPr>
        <w:t xml:space="preserve">注：投标文件中应提供存储服务器CPU型号证明文件及对应的安全可靠测评截图，并加盖投标单位公章，未提供、未按要求提供视为非实质性响应，按无效投标处理。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块存储服务，为云主机等计算服务提供持久性块存储服务，通过数据冗余和缓存加速等技术，提供高可用性和持久性，以及稳定的低时延性能。支持云硬盘格式化、创建文件系统等操作，并对数据做持久化存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2）文件存储，提供大容量文件存储资源，提供NAS服务接口。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3）对象存储，提供面对文档、图片、音频、视频等海量非结构化数据的存储方式。对象存储支持标准Restful API 接口，兼容S3 接口。</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）专用存储及归档服务，提供针对需要长期保存特定文件或数据的业务，提供专用存储和数据归档服务，帮助实现数据的有效管理与利用。</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3.</w:t>
      </w:r>
      <w:r>
        <w:rPr>
          <w:rFonts w:hint="eastAsia" w:ascii="宋体" w:hAnsi="宋体"/>
          <w:b/>
          <w:bCs/>
          <w:sz w:val="21"/>
          <w:szCs w:val="21"/>
        </w:rPr>
        <w:t xml:space="preserve">网络服务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提供多种网络资源服务，包含互联网IP、负载均衡、NAT网关等服务，具体服务描述如下：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1）互联网IP，提供使用单位专属互联网IP地址，支持独享互联网带宽，满足业务变化的需求。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2）负载均衡，将业务系统的访问请求合理地分发到各台云主机上，从而提升整个业务系统的服务能力和可用性。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3）NAT网关，提供网络地址转换服务。支持配置SNAT规则和DNAT规则；支持自定义SNAT规则，为云服务器等服务提供公网代理服务；支持自定义DNAT规则，将公网地址映射到云内使用。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4）弹性IP，基于云外网络上的静态IP地址可以通过外网直接访问的IP地址，通过NAT方式映射到被绑定的实例上。当内网实例上的应用需要访问外网时，可以通过绑定弹性IP的方式来实现固定的外网地址与外网互通。弹性IP可以与虚拟私有云子网中关联的弹性云服务器、虚拟IP、弹性负载均衡等资源灵活地绑定及解</w:t>
      </w:r>
      <w:r>
        <w:rPr>
          <w:rFonts w:hint="eastAsia" w:ascii="宋体" w:hAnsi="宋体" w:cs="Times New Roman"/>
          <w:sz w:val="21"/>
          <w:szCs w:val="21"/>
        </w:rPr>
        <w:t xml:space="preserve">绑 ，绑定了弹性IP的实例可以直接使用这个IP进行外网通信。弹性IP可以用于构建云资源的外网出口，可与多种业务资源灵活地绑定与解绑，满足各种业务诉求。可以将弹性IP绑定到弹性云服务器，绑定后的弹性云服务器即可连接外网，也可以为虚拟IP地址绑定一个弹性IP，从外网可以访问后端绑定了同一个虚拟IP地址的多个主备部署的弹性云服务器，增强冗余性。同时，弹性IP可支持多实例使用一条带宽的功能，用户根据实际业务情况，将对带宽要求不高的实例加入共享带宽，共享带宽拥有超大弹性峰值，可根据实际情况通过调整带宽大小来调整峰值。</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5）根据业务的重要性和优先级，合理分配出口带宽资源，确保关键业务能够获得足够的带宽支持。足够的出口带宽能够确保政务部门在开展业务时，数据能够快速、稳定地传输。本次要求出口上行带宽≥10G。</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6</w:t>
      </w:r>
      <w:r>
        <w:rPr>
          <w:rFonts w:hint="eastAsia" w:ascii="宋体" w:hAnsi="宋体" w:cs="Times New Roman"/>
          <w:sz w:val="21"/>
          <w:szCs w:val="21"/>
        </w:rPr>
        <w:t xml:space="preserve">）IPv6地址转换，提供政务网站或应用的域名IPv6转换服务，实现IPv6协议栈下的业务应用支持IPv6互联网用户的正常访问。</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4.</w:t>
      </w:r>
      <w:r>
        <w:rPr>
          <w:rFonts w:hint="eastAsia" w:ascii="宋体" w:hAnsi="宋体"/>
          <w:b/>
          <w:bCs/>
          <w:sz w:val="21"/>
          <w:szCs w:val="21"/>
        </w:rPr>
        <w:t xml:space="preserve">安全服务</w:t>
      </w:r>
      <w:r/>
    </w:p>
    <w:p>
      <w:pPr>
        <w:numPr>
          <w:ilvl w:val="0"/>
          <w:numId w:val="1"/>
        </w:numPr>
        <w:spacing w:line="360" w:lineRule="auto"/>
        <w:widowControl w:val="off"/>
        <w:rPr>
          <w:rFonts w:ascii="宋体" w:hAnsi="宋体" w:cs="Times New Roman"/>
          <w:sz w:val="21"/>
          <w:szCs w:val="21"/>
        </w:rPr>
      </w:pPr>
      <w:r>
        <w:rPr>
          <w:rFonts w:hint="eastAsia" w:ascii="宋体" w:hAnsi="宋体" w:cs="Times New Roman"/>
          <w:sz w:val="21"/>
          <w:szCs w:val="21"/>
        </w:rPr>
        <w:t xml:space="preserve">云资源池安全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为政务云资源池自身提供全生命周期安全运营，确保平台符合网络安全等级保护2.0三级要求，保障资源池基础设施安全稳定运行。具体要求如下：</w:t>
      </w:r>
      <w:r/>
    </w:p>
    <w:p>
      <w:pPr>
        <w:numPr>
          <w:ilvl w:val="0"/>
          <w:numId w:val="2"/>
        </w:numPr>
        <w:spacing w:line="360" w:lineRule="auto"/>
        <w:widowControl w:val="off"/>
        <w:rPr>
          <w:rFonts w:ascii="宋体" w:hAnsi="宋体" w:cs="Times New Roman"/>
          <w:sz w:val="21"/>
          <w:szCs w:val="21"/>
        </w:rPr>
      </w:pPr>
      <w:r>
        <w:rPr>
          <w:rFonts w:hint="eastAsia" w:ascii="宋体" w:hAnsi="宋体" w:cs="Times New Roman"/>
          <w:sz w:val="21"/>
          <w:szCs w:val="21"/>
        </w:rPr>
        <w:t xml:space="preserve">边界安全防护能力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平台级访问控制能力，支持基于IP、端口、协议、用户身份等多维度的安全策略动态配置；提供实时入侵防御能力，具备漏洞攻击、蠕虫病毒、木马后门、暴力破解等威胁行为的检测与阻断；提供Web应用防护能力，支持应用层扫描防护、Web入侵检测、恶意代码拦截及网页防篡改。</w:t>
      </w:r>
      <w:r/>
    </w:p>
    <w:p>
      <w:pPr>
        <w:numPr>
          <w:ilvl w:val="0"/>
          <w:numId w:val="2"/>
        </w:numPr>
        <w:spacing w:line="360" w:lineRule="auto"/>
        <w:widowControl w:val="off"/>
        <w:rPr>
          <w:rFonts w:ascii="宋体" w:hAnsi="宋体" w:cs="Times New Roman"/>
          <w:sz w:val="21"/>
          <w:szCs w:val="21"/>
        </w:rPr>
      </w:pPr>
      <w:r>
        <w:rPr>
          <w:rFonts w:hint="eastAsia" w:ascii="宋体" w:hAnsi="宋体" w:cs="Times New Roman"/>
          <w:sz w:val="21"/>
          <w:szCs w:val="21"/>
        </w:rPr>
        <w:t xml:space="preserve">统一运维管控能力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集中化运维身份管控能力，支持多因子认证、动态权限分配及操作行为溯源；提供运维操作全流程审计能力，覆盖云主机、数据库及平台组件的操作指令记录、敏感指令拦截及操作日志存储，日志留存时间不低于180天。</w:t>
      </w:r>
      <w:r/>
    </w:p>
    <w:p>
      <w:pPr>
        <w:numPr>
          <w:ilvl w:val="0"/>
          <w:numId w:val="2"/>
        </w:numPr>
        <w:spacing w:line="360" w:lineRule="auto"/>
        <w:widowControl w:val="off"/>
        <w:rPr>
          <w:rFonts w:ascii="宋体" w:hAnsi="宋体" w:cs="Times New Roman"/>
          <w:sz w:val="21"/>
          <w:szCs w:val="21"/>
        </w:rPr>
      </w:pPr>
      <w:r>
        <w:rPr>
          <w:rFonts w:hint="eastAsia" w:ascii="宋体" w:hAnsi="宋体" w:cs="Times New Roman"/>
          <w:sz w:val="21"/>
          <w:szCs w:val="21"/>
        </w:rPr>
        <w:t xml:space="preserve">安全监测与响应能力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实现7×24小时安全态势监测，支持资产漏洞扫描、弱密码检测、威胁事件分析及风险评级；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实现安全事件闭环处置，具备威胁告警、联动阻断、溯源分析及事件通报能力以及可视化大屏展示。</w:t>
      </w:r>
      <w:r/>
    </w:p>
    <w:p>
      <w:pPr>
        <w:numPr>
          <w:ilvl w:val="0"/>
          <w:numId w:val="2"/>
        </w:numPr>
        <w:spacing w:line="360" w:lineRule="auto"/>
        <w:widowControl w:val="off"/>
        <w:rPr>
          <w:rFonts w:ascii="宋体" w:hAnsi="宋体" w:cs="Times New Roman"/>
          <w:sz w:val="21"/>
          <w:szCs w:val="21"/>
        </w:rPr>
      </w:pPr>
      <w:r>
        <w:rPr>
          <w:rFonts w:hint="eastAsia" w:ascii="宋体" w:hAnsi="宋体" w:cs="Times New Roman"/>
          <w:sz w:val="21"/>
          <w:szCs w:val="21"/>
        </w:rPr>
        <w:t xml:space="preserve">平台级安全审计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提供跨系统日志统一采集功能，支持网络设备、安全设备、操作系统、数据库等日志的标准化处理与集中存储；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提供日志智能分析、实时异常行为告警、合规性审计报告生成及日志检索能力，满足监管检查需求。</w:t>
      </w:r>
      <w:r/>
    </w:p>
    <w:p>
      <w:pPr>
        <w:numPr>
          <w:ilvl w:val="0"/>
          <w:numId w:val="1"/>
        </w:numPr>
        <w:spacing w:line="360" w:lineRule="auto"/>
        <w:widowControl w:val="off"/>
        <w:rPr>
          <w:rFonts w:ascii="宋体" w:hAnsi="宋体" w:cs="Times New Roman"/>
          <w:sz w:val="21"/>
          <w:szCs w:val="21"/>
        </w:rPr>
      </w:pPr>
      <w:r>
        <w:rPr>
          <w:rFonts w:hint="eastAsia" w:ascii="宋体" w:hAnsi="宋体" w:cs="Times New Roman"/>
          <w:sz w:val="21"/>
          <w:szCs w:val="21"/>
        </w:rPr>
        <w:t xml:space="preserve">云租户安全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为云上使用单位提供按需申请、独立使用的虚拟化安全组件服务，兼顾业务系统网络安全等级保护2.0二级、三级的建设标准，服务要求如下：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云租户安全套餐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为快速高效的满足云上租户应用安全合规需求，基于不同应用之间的建设差异，需提供等保二级、等保三级和等保三级增强型安全服务套餐，以满足应用个性化的建设需求，同时套餐中的各项内容可以根据使用单位的需求情况进行单独扩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防火墙服务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提供云上互联网边界和VPC边界的防护，包括实时入侵检测与防御、全局统一访问控制、全流量分析可视化等，同时支持按需弹性扩容、灵活扩展满足云上业务的变化和扩张需求。</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web应用防火墙（WAF）服务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提供网站业务流量的检测和防护，识别恶意请求特征和防御未知威胁，阻挡诸如SQL注入或跨站脚本等常见攻击，避免这些攻击影响Web应用程序的可用性、安全性或过度消耗资源，降低数据被篡改、失窃的风险。</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主机安全服务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计算环境安全保护能力，通过资产管理、风险识别、漏洞管理、基线检查、入侵检测、高级防御、调查响应及安全运营功能，全面识别并管理主机中的信息资产，实时监测主机中的风险并阻止非法入侵行为，帮助应用构建服务器安全体系，降低当前服务器面临的主要安全风险。</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日志审计服务</w:t>
      </w:r>
      <w:r/>
    </w:p>
    <w:p>
      <w:pPr>
        <w:ind w:left="0" w:firstLine="435"/>
        <w:spacing w:line="360" w:lineRule="auto"/>
        <w:widowControl w:val="off"/>
        <w:rPr>
          <w:rFonts w:ascii="宋体" w:hAnsi="宋体" w:cs="Times New Roman"/>
          <w:sz w:val="21"/>
          <w:szCs w:val="21"/>
        </w:rPr>
      </w:pPr>
      <w:r>
        <w:rPr>
          <w:rFonts w:hint="eastAsia" w:ascii="宋体" w:hAnsi="宋体" w:cs="Times New Roman"/>
          <w:sz w:val="21"/>
          <w:szCs w:val="21"/>
        </w:rPr>
        <w:t xml:space="preserve">提供租户面应用相关安全日志审计能力，满足网络安全法、网络安全等级保护合规要求。</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数据库审计服务</w:t>
      </w:r>
      <w:r/>
    </w:p>
    <w:p>
      <w:pPr>
        <w:ind w:left="0" w:firstLine="435"/>
        <w:spacing w:line="360" w:lineRule="auto"/>
        <w:widowControl w:val="off"/>
        <w:rPr>
          <w:rFonts w:ascii="宋体" w:hAnsi="宋体" w:cs="Times New Roman"/>
          <w:sz w:val="21"/>
          <w:szCs w:val="21"/>
        </w:rPr>
      </w:pPr>
      <w:r>
        <w:rPr>
          <w:rFonts w:hint="eastAsia" w:ascii="宋体" w:hAnsi="宋体" w:cs="Times New Roman"/>
          <w:sz w:val="21"/>
          <w:szCs w:val="21"/>
        </w:rPr>
        <w:t xml:space="preserve">提供数据库安全审计功能，使用旁路模式审计功能，对数据库性能消耗极低。通过实时记录用户访问数据库行为，形成细粒度的审计报告，对风险行为和攻击行为进行实时告警。</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堡垒机服务</w:t>
      </w:r>
      <w:r/>
    </w:p>
    <w:p>
      <w:pPr>
        <w:ind w:left="0" w:firstLine="435"/>
        <w:spacing w:line="360" w:lineRule="auto"/>
        <w:widowControl w:val="off"/>
        <w:rPr>
          <w:rFonts w:ascii="宋体" w:hAnsi="宋体" w:cs="Times New Roman"/>
          <w:sz w:val="21"/>
          <w:szCs w:val="21"/>
        </w:rPr>
      </w:pPr>
      <w:r>
        <w:rPr>
          <w:rFonts w:hint="eastAsia" w:ascii="宋体" w:hAnsi="宋体" w:cs="Times New Roman"/>
          <w:sz w:val="21"/>
          <w:szCs w:val="21"/>
        </w:rPr>
        <w:t xml:space="preserve">提供云上资源安全运维能力，为租户应用提供集中的帐号（Account）、授权（Authorization）、认证（Authentication）和审计（Audit）管理服务。</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网络检测与响应服务</w:t>
      </w:r>
      <w:r/>
    </w:p>
    <w:p>
      <w:pPr>
        <w:ind w:left="0" w:firstLine="435"/>
        <w:spacing w:line="360" w:lineRule="auto"/>
        <w:widowControl w:val="off"/>
        <w:rPr>
          <w:rFonts w:ascii="宋体" w:hAnsi="宋体" w:cs="Times New Roman"/>
          <w:sz w:val="21"/>
          <w:szCs w:val="21"/>
        </w:rPr>
      </w:pPr>
      <w:r>
        <w:rPr>
          <w:rFonts w:hint="eastAsia" w:ascii="宋体" w:hAnsi="宋体" w:cs="Times New Roman"/>
          <w:sz w:val="21"/>
          <w:szCs w:val="21"/>
        </w:rPr>
        <w:t xml:space="preserve">提供云内主机之间流量监测能力，运用特征规则、威胁情报，大数据分析等技术，对应用内东西向流量引流，实时检测、捕获、解码、审计，发现企业网络存在的安全风险，实现溯源分析及威胁处置。</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漏洞扫描</w:t>
      </w:r>
      <w:r/>
    </w:p>
    <w:p>
      <w:pPr>
        <w:ind w:left="0" w:firstLine="435"/>
        <w:spacing w:line="360" w:lineRule="auto"/>
        <w:widowControl w:val="off"/>
        <w:rPr>
          <w:rFonts w:ascii="宋体" w:hAnsi="宋体" w:cs="Times New Roman"/>
          <w:sz w:val="21"/>
          <w:szCs w:val="21"/>
        </w:rPr>
      </w:pPr>
      <w:r>
        <w:rPr>
          <w:rFonts w:hint="eastAsia" w:ascii="宋体" w:hAnsi="宋体" w:cs="Times New Roman"/>
          <w:sz w:val="21"/>
          <w:szCs w:val="21"/>
        </w:rPr>
        <w:t xml:space="preserve">提供云上虚机漏洞发现能力，提供周期性漏洞扫描功能、提供漏洞修复建议与报告。</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密钥管理服务</w:t>
      </w:r>
      <w:r/>
    </w:p>
    <w:p>
      <w:pPr>
        <w:ind w:left="0" w:firstLine="435"/>
        <w:spacing w:line="360" w:lineRule="auto"/>
        <w:widowControl w:val="off"/>
        <w:rPr>
          <w:rFonts w:ascii="宋体" w:hAnsi="宋体" w:cs="Times New Roman"/>
          <w:sz w:val="21"/>
          <w:szCs w:val="21"/>
        </w:rPr>
      </w:pPr>
      <w:r>
        <w:rPr>
          <w:rFonts w:hint="eastAsia" w:ascii="宋体" w:hAnsi="宋体" w:cs="Times New Roman"/>
          <w:sz w:val="21"/>
          <w:szCs w:val="21"/>
        </w:rPr>
        <w:t xml:space="preserve">提供密钥生成发布的能力，支持对称密钥、非对称密钥的创建及生命周期管理，支持加解密运算。</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零信任服务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服务基于零信任理念构建，产品控制中心能实现用户认证、用户授权、多源信任评估、动态访问控制策略等，实现用户接入、代理访问、控制策略执行。服务以身份为中心，用身份重塑边界；通过网络隐身、动态业务准入等实现可信访问；通过动态权限控制、权限基线工具等实现智能权限。</w:t>
      </w:r>
      <w:r/>
    </w:p>
    <w:p>
      <w:pPr>
        <w:numPr>
          <w:ilvl w:val="0"/>
          <w:numId w:val="3"/>
        </w:numPr>
        <w:spacing w:line="360" w:lineRule="auto"/>
        <w:widowControl w:val="off"/>
        <w:rPr>
          <w:rFonts w:ascii="宋体" w:hAnsi="宋体" w:cs="Times New Roman"/>
          <w:sz w:val="21"/>
          <w:szCs w:val="21"/>
        </w:rPr>
      </w:pPr>
      <w:r>
        <w:rPr>
          <w:rFonts w:hint="eastAsia" w:ascii="宋体" w:hAnsi="宋体" w:cs="Times New Roman"/>
          <w:sz w:val="21"/>
          <w:szCs w:val="21"/>
        </w:rPr>
        <w:t xml:space="preserve">日志集中管理服务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日志集中管理服务：通过日志管理平台将原本分散、散落的日志数据进行整合，实现长时间周期数据保存，将各类日志进行降噪治理、关联分析，并将结果以统一数据服务的方式进行共享，形成对主机、网络、安全、业务等相关系统日志数据的统一管理。</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5.</w:t>
      </w:r>
      <w:r>
        <w:rPr>
          <w:rFonts w:hint="eastAsia" w:ascii="宋体" w:hAnsi="宋体"/>
          <w:b/>
          <w:bCs/>
          <w:sz w:val="21"/>
          <w:szCs w:val="21"/>
        </w:rPr>
        <w:t xml:space="preserve">数据库服务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提供主流国产数据库软件，包含关系型和非关系型数据库，其中关系型数据库可支持单机、集群和分布式三种模式，同时满足不同类型的应用场景。</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6.</w:t>
      </w:r>
      <w:r>
        <w:rPr>
          <w:rFonts w:hint="eastAsia" w:ascii="宋体" w:hAnsi="宋体"/>
          <w:b/>
          <w:bCs/>
          <w:sz w:val="21"/>
          <w:szCs w:val="21"/>
        </w:rPr>
        <w:t xml:space="preserve">操作系统</w:t>
      </w:r>
      <w:r/>
    </w:p>
    <w:p>
      <w:pPr>
        <w:ind w:left="0" w:firstLine="420"/>
        <w:spacing w:line="360" w:lineRule="auto"/>
        <w:widowControl w:val="off"/>
        <w:rPr>
          <w:rFonts w:ascii="宋体" w:hAnsi="宋体" w:cs="仿宋"/>
          <w:sz w:val="21"/>
          <w:szCs w:val="21"/>
        </w:rPr>
      </w:pPr>
      <w:r>
        <w:rPr>
          <w:rFonts w:hint="eastAsia" w:ascii="宋体" w:hAnsi="宋体" w:cs="Times New Roman"/>
          <w:sz w:val="21"/>
          <w:szCs w:val="21"/>
        </w:rPr>
        <w:t xml:space="preserve">提供主流国产操作系统软件。</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7.</w:t>
      </w:r>
      <w:r>
        <w:rPr>
          <w:rFonts w:hint="eastAsia" w:ascii="宋体" w:hAnsi="宋体"/>
          <w:b/>
          <w:bCs/>
          <w:sz w:val="21"/>
          <w:szCs w:val="21"/>
        </w:rPr>
        <w:t xml:space="preserve">中间件服务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提供主流国产web应用服务器中间件软件、主流分布式缓存中间件软件、主流分布式消息队列软件和中间件统一管理服务。</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8.</w:t>
      </w:r>
      <w:r>
        <w:rPr>
          <w:rFonts w:hint="eastAsia" w:ascii="宋体" w:hAnsi="宋体"/>
          <w:b/>
          <w:bCs/>
          <w:sz w:val="21"/>
          <w:szCs w:val="21"/>
        </w:rPr>
        <w:t xml:space="preserve">大数据服务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大数据服务支持以下功能：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Redis，提供基于内存的高性能分布式K-V缓存系统。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Flink，分布式的、高可用的、能保证ExactlyOnce语义的针对流数据和批数据的处理引擎。</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Hbase，提供海量数据存储功能，是一种构建在HDFS之上的分布式、面向列的存储系统。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Hive，建立在Hadoop基础上的开源的数据仓库，提供类似SQL的HiveQL语言操作结构化数据存储服务和基本的数据分析服务。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HDFS，Hadoop分布式文件系统，提供高吞吐量的数据访问，适合大规模数据集方面的应用。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Yarn，Hadoop 2.0中的资源管理系统，它是一个通用的资源模块，可以为各类应用程序进行资源管理和调度。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Mapreduce，提供快速并行处理大量数据的能力，是一种分布式数据处理模式和执行环境。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Spark，基于内存进行计算的分布式计算框架。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Kafka，一个分布式的、分区的、多副本的实时消息发布-订阅系统。提供可扩展、高吞吐、低延迟、高可靠的消息分发服务。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ElasticSearch，一个兼有搜索引擎和NoSQL数据库功能的开源系统，基于JAVA/Lucene构建，开源、分布式、支持RESTful请求。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数据仓库服务，云上数据仓库服务，具备在线扩展、高效的多源数据加载能力，兼容PostgreSQL生态。</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9.</w:t>
      </w:r>
      <w:r>
        <w:rPr>
          <w:rFonts w:hint="eastAsia" w:ascii="宋体" w:hAnsi="宋体"/>
          <w:b/>
          <w:bCs/>
          <w:sz w:val="21"/>
          <w:szCs w:val="21"/>
        </w:rPr>
        <w:t xml:space="preserve">单数据中心备份服务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提供单数据中心内的备份服务，包括：</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对云主机、云硬盘提供备份服务；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对运行在虚拟机或者物理机的操作系统、应用和数据库进行统一备份管理，提供备份策略、备份文件和备份恢复等能力；</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提供政务应用系统的备份咨询服务，包含备份咨询、设计、交付等服务。</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10.</w:t>
      </w:r>
      <w:r>
        <w:rPr>
          <w:rFonts w:hint="eastAsia" w:ascii="宋体" w:hAnsi="宋体"/>
          <w:b/>
          <w:bCs/>
          <w:sz w:val="21"/>
          <w:szCs w:val="21"/>
        </w:rPr>
        <w:t xml:space="preserve">迁移适配资源</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为满足业务迁移需求，通过全栈适配与系统性迁移，构建符合政务业务的云底座资源池，确保迁移后系统性能稳定、业务连续，不影响政务服务正常运转。该部分资源可提供计算服务、对象存储、文件存储、一般IO存储、高IO存储。</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11.</w:t>
      </w:r>
      <w:r>
        <w:rPr>
          <w:rFonts w:hint="eastAsia" w:ascii="宋体" w:hAnsi="宋体"/>
          <w:b/>
          <w:bCs/>
          <w:sz w:val="21"/>
          <w:szCs w:val="21"/>
        </w:rPr>
        <w:t xml:space="preserve">迁移适配服务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提供业务系统国产化迁移适配支持服务，包含迁移咨询、测评、指导服务。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（1）提供业务系统国产化迁移咨询服务，根据当前业务现状给出分析报告和移植可行性建议，输出详细的移植方案、业务数据迁移方案和技术指导。</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（2）提供国产化迁移测评支持服务，主要内容包括：测评方案、测评执行、测评报告、割接方案、割接实施、割接报告、上线保障等。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（2）提供国产化移植改造支持服务，在x86到国产化的移植过程中，针对出现的业务系统适配问题，协助进行定位并解决。</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12.</w:t>
      </w:r>
      <w:r>
        <w:rPr>
          <w:rFonts w:hint="eastAsia" w:ascii="宋体" w:hAnsi="宋体"/>
          <w:b/>
          <w:bCs/>
          <w:sz w:val="21"/>
          <w:szCs w:val="21"/>
        </w:rPr>
        <w:t xml:space="preserve">用云支持服务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业务系统上云用云技术支持服务，包括计算服务规划、存储服务规划、网络服务规划等云服务规划，上云可行性分析、上云部署架构设计支持、云服务参数规格详细设计支持、云服务使用支持等应用上云支持，应用上云规范设计、应用上云流程设计、自定义报表规划设计、用云月报周报、资源利用率优化等用云管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（2）提供数据库部署及性能调优技术支持服务，包括数据库部署、性能摸底测试、性能瓶颈定位、调优方案设计、调试手段实施和性能测试等服务。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（3）提供系统备份部署技术支持服务，包括备份需求调研、备份方案设计、系统备份部署、备份测试等服务。</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13.</w:t>
      </w:r>
      <w:r>
        <w:rPr>
          <w:rFonts w:hint="eastAsia" w:ascii="宋体" w:hAnsi="宋体"/>
          <w:b/>
          <w:bCs/>
          <w:sz w:val="21"/>
          <w:szCs w:val="21"/>
        </w:rPr>
        <w:t xml:space="preserve">重点保障-安全值守服务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人工巡检网站访问情况、应急处置、安全事件验证分析等日常安全值守服务。普通保障场景：安排工程师在客户现场通过运维软件运维中心实时监控故障告警，及时发现问题，评估风险，提前预警。特殊保障场景：通过业务调研信息制定核心指标的监控方案，通过监控工具实时监控故障告警，定时发送监控结果，反馈平台运行状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（2）提供24小时系统截图、安全事件分析报告、值班报告等内容。</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1.2.6.</w:t>
      </w:r>
      <w:r>
        <w:rPr>
          <w:rFonts w:ascii="宋体" w:hAnsi="宋体"/>
          <w:b/>
          <w:bCs/>
          <w:sz w:val="21"/>
          <w:szCs w:val="21"/>
        </w:rPr>
        <w:t xml:space="preserve">14.</w:t>
      </w:r>
      <w:r>
        <w:rPr>
          <w:rFonts w:hint="eastAsia" w:ascii="宋体" w:hAnsi="宋体"/>
          <w:b/>
          <w:bCs/>
          <w:sz w:val="21"/>
          <w:szCs w:val="21"/>
        </w:rPr>
        <w:t xml:space="preserve">重点保障－安全专家服务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提供安全隐患分析、安全培训、应急处置服务、木马病毒分析、日志隐患分析等安全相关的人工服务。制定符合项目场景化的安全方案，安排安全专家现场支撑处理突发事件。同时，安排研发专家在远程值守，必要时现场支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（2）提供分析报告、人工协助解决隐患、解决方案等内容。</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（二）采购标的需执行的国家相关标准、行业标准、地方标准或者其他标准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《江苏省政务“一朵云”建设总体方案》(苏政办发〔2023〕36号）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《江苏省政务云管理办法（试行）》(苏数发〔2024〕32号）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《信息安全技术网络安全等级保护基本要求》（GB/T22239-2019）</w:t>
      </w:r>
      <w:r/>
    </w:p>
    <w:p>
      <w:pPr>
        <w:ind w:left="0" w:firstLine="422"/>
        <w:spacing w:line="360" w:lineRule="auto"/>
        <w:widowControl w:val="off"/>
        <w:rPr>
          <w:rFonts w:ascii="宋体" w:hAnsi="宋体" w:cs="Times New Roman"/>
          <w:b/>
          <w:bCs/>
          <w:sz w:val="21"/>
          <w:szCs w:val="21"/>
        </w:rPr>
      </w:pPr>
      <w:r>
        <w:rPr>
          <w:rFonts w:hint="eastAsia" w:ascii="宋体" w:hAnsi="宋体" w:cs="Times New Roman"/>
          <w:b/>
          <w:bCs/>
          <w:sz w:val="21"/>
          <w:szCs w:val="21"/>
        </w:rPr>
        <w:t xml:space="preserve">（三）采购标的需满足的质量、安全、技术规格、物理特性等要求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1.2.7.云管理平台要求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1.2.7.</w:t>
      </w:r>
      <w:r>
        <w:rPr>
          <w:rFonts w:ascii="宋体" w:hAnsi="宋体"/>
          <w:b/>
          <w:bCs/>
          <w:sz w:val="21"/>
          <w:szCs w:val="21"/>
        </w:rPr>
        <w:t xml:space="preserve">1.</w:t>
      </w:r>
      <w:r>
        <w:rPr>
          <w:rFonts w:hint="eastAsia" w:ascii="宋体" w:hAnsi="宋体"/>
          <w:b/>
          <w:bCs/>
          <w:sz w:val="21"/>
          <w:szCs w:val="21"/>
        </w:rPr>
        <w:t xml:space="preserve">功能要求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管理平台所提供的平台能力应具备IaaS服务、PaaS服务、SaaS服务、数据库服务、运维服务。IaaS层提供云主机、裸金属服务器、各类不同性能和类型的存储（如高性能、普通性能）、数据备份和云网络（租户子网/IP等）等服务，IaaS层向PaaS层、SaaS层提供开放API接口调用，可实现IaaS层资源与PaaS层、SaaS层资源的联动。</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1.2.7.</w:t>
      </w:r>
      <w:r>
        <w:rPr>
          <w:rFonts w:ascii="宋体" w:hAnsi="宋体"/>
          <w:b/>
          <w:bCs/>
          <w:sz w:val="21"/>
          <w:szCs w:val="21"/>
        </w:rPr>
        <w:t xml:space="preserve">2.</w:t>
      </w:r>
      <w:r>
        <w:rPr>
          <w:rFonts w:hint="eastAsia" w:ascii="宋体" w:hAnsi="宋体"/>
          <w:b/>
          <w:bCs/>
          <w:sz w:val="21"/>
          <w:szCs w:val="21"/>
        </w:rPr>
        <w:t xml:space="preserve">技术要求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管理平台提供资源创建自助服务界面，使用单位能够通过自助服务门户完成云资源申请、使用、修改、销毁等操作。服务门户能够为用户提供云主机、裸金属服务器、云硬盘、云防火墙、云负载均衡、应用管理、数据库、中间件、操作系统等服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云管理平台能通过SDN控制器实现对物理网络设备的自动化配置，实现虚拟路由器、虚拟私有网络、虚拟防火墙、虚拟负载均衡等网络服务的增加、删除、修改和查询，以确保开放性。</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1.2.8.虚拟化软件要求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1.2.8.</w:t>
      </w:r>
      <w:r>
        <w:rPr>
          <w:rFonts w:ascii="宋体" w:hAnsi="宋体"/>
          <w:b/>
          <w:bCs/>
          <w:sz w:val="21"/>
          <w:szCs w:val="21"/>
        </w:rPr>
        <w:t xml:space="preserve">1.</w:t>
      </w:r>
      <w:r>
        <w:rPr>
          <w:rFonts w:hint="eastAsia" w:ascii="宋体" w:hAnsi="宋体"/>
          <w:b/>
          <w:bCs/>
          <w:sz w:val="21"/>
          <w:szCs w:val="21"/>
        </w:rPr>
        <w:t xml:space="preserve">功能要求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虚拟化软件采用成熟度高的主流国产商用产品，以保证功能的可靠性和安全性。为保证云管理平台作为政务云的统一管理界面，要求计算虚拟化软件可平滑对接苏州市国产化政务云管理平台，云管理平台可直接进行各类云资源、云服务、设备系统的统一管理，覆盖全生命周期；同时云管理平台可支持云的监控、故障处理等运维功能。</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1.2.8.</w:t>
      </w:r>
      <w:r>
        <w:rPr>
          <w:rFonts w:ascii="宋体" w:hAnsi="宋体"/>
          <w:b/>
          <w:bCs/>
          <w:sz w:val="21"/>
          <w:szCs w:val="21"/>
        </w:rPr>
        <w:t xml:space="preserve">2.</w:t>
      </w:r>
      <w:r>
        <w:rPr>
          <w:rFonts w:hint="eastAsia" w:ascii="宋体" w:hAnsi="宋体"/>
          <w:b/>
          <w:bCs/>
          <w:sz w:val="21"/>
          <w:szCs w:val="21"/>
        </w:rPr>
        <w:t xml:space="preserve">技术要求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采用主流虚拟化技术路线，所有共享型实例的vCPU与物理核心分配比例不超过3:1。支持集群动态资源调度功能，可基于主机的CPU利用率、内存利用率、磁盘I/O、磁盘容量利用率、磁盘请求、网络流量等资源对虚拟机进行动态资源调度到负载较低的主机上，实现自动化的计算、存储、网络等资源分配，使云主机获得良好的性能资源。</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1.2.9.网络服务要求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1.2.9.</w:t>
      </w:r>
      <w:r>
        <w:rPr>
          <w:rFonts w:ascii="宋体" w:hAnsi="宋体"/>
          <w:b/>
          <w:bCs/>
          <w:sz w:val="21"/>
          <w:szCs w:val="21"/>
        </w:rPr>
        <w:t xml:space="preserve">1.</w:t>
      </w:r>
      <w:r>
        <w:rPr>
          <w:rFonts w:hint="eastAsia" w:ascii="宋体" w:hAnsi="宋体"/>
          <w:b/>
          <w:bCs/>
          <w:sz w:val="21"/>
          <w:szCs w:val="21"/>
        </w:rPr>
        <w:t xml:space="preserve">功能要求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苏州市国产化政务云资源池网络架构具备高带宽、高可靠能力，保障全域高速互联，提高系统的可扩展性、安全性和可维护性。</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根据政务网络安全管理、信息安全等级保护等要求，在苏州市国产化政务云中明确部署和划分互联网区和政务外网区，分别承载政务外网和互联网应用。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云网络同时支持IPv4/IPv6双栈网络，满足政务网络需要。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IPv6地址转换服务可对门户网站、外网办公系统及市民应用提供IPv6协议栈下的业务应用支持IPv6互联网用户的正常访问，同时提供IPv6层面的安全过滤功能，实现IPv6层面的安全防护。</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1.2.9.</w:t>
      </w:r>
      <w:r>
        <w:rPr>
          <w:rFonts w:ascii="宋体" w:hAnsi="宋体"/>
          <w:b/>
          <w:bCs/>
          <w:sz w:val="21"/>
          <w:szCs w:val="21"/>
        </w:rPr>
        <w:t xml:space="preserve">2.</w:t>
      </w:r>
      <w:r>
        <w:rPr>
          <w:rFonts w:hint="eastAsia" w:ascii="宋体" w:hAnsi="宋体"/>
          <w:b/>
          <w:bCs/>
          <w:sz w:val="21"/>
          <w:szCs w:val="21"/>
        </w:rPr>
        <w:t xml:space="preserve">技术要求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本次规划构建高性能、高可靠的网络以满足政务云平台业务对网络的要求，为了保证政务云平台可靠性及扩展性，要求政务云平台网络设备和链路采用冗余部署。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云内网络采用双链路设计，骨干网络单链路不少于40G带宽，业务网络单链路不少于10G带宽，存储网络单链路不少于10G带宽，管理网络接入单链路不少于1G带宽。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本次项目所提供的网络资源须与苏州市国产化政务云平台兼容对接，兼容对接所产生的软件授权或定制开发等费用等均由云服务商自行承担。</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1.2.9.</w:t>
      </w:r>
      <w:r>
        <w:rPr>
          <w:rFonts w:ascii="宋体" w:hAnsi="宋体"/>
          <w:b/>
          <w:bCs/>
          <w:sz w:val="21"/>
          <w:szCs w:val="21"/>
        </w:rPr>
        <w:t xml:space="preserve">3.</w:t>
      </w:r>
      <w:r>
        <w:rPr>
          <w:rFonts w:hint="eastAsia" w:ascii="宋体" w:hAnsi="宋体"/>
          <w:b/>
          <w:bCs/>
          <w:sz w:val="21"/>
          <w:szCs w:val="21"/>
        </w:rPr>
        <w:t xml:space="preserve">参数要求</w:t>
      </w:r>
      <w:r/>
    </w:p>
    <w:p>
      <w:pPr>
        <w:ind w:left="0" w:firstLine="420"/>
        <w:spacing w:line="360" w:lineRule="auto"/>
        <w:tabs>
          <w:tab w:val="left" w:pos="0" w:leader="none"/>
        </w:tabs>
        <w:rPr>
          <w:rFonts w:ascii="宋体" w:hAnsi="宋体"/>
          <w:b/>
          <w:bCs/>
          <w:sz w:val="21"/>
          <w:szCs w:val="21"/>
        </w:rPr>
      </w:pPr>
      <w:r>
        <w:rPr>
          <w:rFonts w:hint="eastAsia" w:ascii="宋体" w:hAnsi="宋体" w:cs="仿宋_GB2312"/>
          <w:sz w:val="21"/>
          <w:szCs w:val="21"/>
        </w:rPr>
        <w:t xml:space="preserve">政务“一朵云”作为承载民生服务与政务数据的基础平台，网络服务需满足高可靠性、高扩展能力和高安全性。其中云核心交换机承载各个区域的数据交换转发，须使用具备冗余性的高性能设备，保障云平台长期稳定运行。接入层网络需要支持不少于10G带宽，满足服务器集群和存储业务的网络接入。同时为保障业务安全可靠，关键部件须满足自主可控要求。相关硬件设备参考以下参数要求。</w:t>
      </w:r>
      <w:r/>
    </w:p>
    <w:p>
      <w:pPr>
        <w:ind w:left="0"/>
        <w:spacing w:line="360" w:lineRule="auto"/>
        <w:widowControl w:val="off"/>
        <w:rPr>
          <w:rFonts w:ascii="仿宋" w:hAnsi="仿宋" w:eastAsia="仿宋" w:cs="仿宋"/>
          <w:bCs/>
          <w:sz w:val="24"/>
          <w:szCs w:val="24"/>
          <w:lang w:bidi="ar"/>
        </w:rPr>
      </w:pPr>
      <w:r>
        <w:rPr>
          <w:rFonts w:hint="eastAsia" w:ascii="仿宋" w:hAnsi="仿宋" w:eastAsia="仿宋" w:cs="仿宋"/>
          <w:bCs/>
          <w:sz w:val="24"/>
          <w:szCs w:val="24"/>
          <w:lang w:bidi="ar"/>
        </w:rPr>
        <w:t xml:space="preserve">（</w:t>
      </w:r>
      <w:r>
        <w:rPr>
          <w:rFonts w:ascii="Times New Roman" w:hAnsi="Times New Roman" w:eastAsia="仿宋" w:cs="Times New Roman"/>
          <w:bCs/>
          <w:sz w:val="24"/>
          <w:szCs w:val="24"/>
          <w:lang w:bidi="ar"/>
        </w:rPr>
        <w:t xml:space="preserve">1</w:t>
      </w:r>
      <w:r>
        <w:rPr>
          <w:rFonts w:hint="eastAsia" w:ascii="仿宋" w:hAnsi="仿宋" w:eastAsia="仿宋" w:cs="仿宋"/>
          <w:bCs/>
          <w:sz w:val="24"/>
          <w:szCs w:val="24"/>
          <w:lang w:bidi="ar"/>
        </w:rPr>
        <w:t xml:space="preserve">）云核心交换机</w:t>
      </w:r>
      <w:r/>
    </w:p>
    <w:tbl>
      <w:tblPr>
        <w:tblStyle w:val="1024"/>
        <w:tblW w:w="8359" w:type="dxa"/>
        <w:jc w:val="center"/>
        <w:tblLayout w:type="fixed"/>
        <w:tblCellMar>
          <w:left w:w="108" w:type="dxa"/>
          <w:top w:w="0" w:type="dxa"/>
          <w:right w:w="108" w:type="dxa"/>
          <w:bottom w:w="0" w:type="dxa"/>
        </w:tblCellMar>
        <w:tblLook w:val="04A0" w:firstRow="1" w:lastRow="0" w:firstColumn="1" w:lastColumn="0" w:noHBand="0" w:noVBand="1"/>
      </w:tblPr>
      <w:tblGrid>
        <w:gridCol w:w="1555"/>
        <w:gridCol w:w="6804"/>
      </w:tblGrid>
      <w:tr>
        <w:trPr>
          <w:jc w:val="center"/>
          <w:trHeight w:val="288"/>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指标项</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技术参数要求</w:t>
            </w:r>
            <w:r/>
          </w:p>
        </w:tc>
      </w:tr>
      <w:tr>
        <w:trPr>
          <w:jc w:val="center"/>
          <w:trHeight w:val="288"/>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转发性能</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交换容量≥380Tbps</w:t>
            </w:r>
            <w:r/>
          </w:p>
        </w:tc>
      </w:tr>
      <w:tr>
        <w:trPr>
          <w:jc w:val="center"/>
          <w:trHeight w:val="162"/>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包转发率≥110000Mpps</w:t>
            </w:r>
            <w:r/>
          </w:p>
        </w:tc>
      </w:tr>
      <w:tr>
        <w:trPr>
          <w:jc w:val="center"/>
          <w:trHeight w:val="288"/>
        </w:trPr>
        <w:tc>
          <w:tcPr>
            <w:tcBorders>
              <w:top w:val="none" w:color="000000" w:sz="4" w:space="0"/>
              <w:left w:val="single" w:color="000000" w:sz="4" w:space="0"/>
              <w:bottom w:val="single" w:color="000000" w:sz="4" w:space="0"/>
              <w:right w:val="single" w:color="000000" w:sz="4" w:space="0"/>
            </w:tcBorders>
            <w:tcW w:w="1555" w:type="dxa"/>
            <w:vAlign w:val="center"/>
            <w:vMerge w:val="restart"/>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配置参数</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CPU芯片为国产化芯片</w:t>
            </w:r>
            <w:r/>
          </w:p>
        </w:tc>
      </w:tr>
      <w:tr>
        <w:trPr>
          <w:jc w:val="center"/>
          <w:trHeight w:val="90"/>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可支持的10GE接口数量≥180个；或可支持的40GE接口数量≥120个</w:t>
            </w:r>
            <w:r/>
          </w:p>
        </w:tc>
      </w:tr>
      <w:tr>
        <w:trPr>
          <w:jc w:val="center"/>
          <w:trHeight w:val="288"/>
        </w:trPr>
        <w:tc>
          <w:tcPr>
            <w:tcBorders>
              <w:top w:val="none" w:color="000000" w:sz="4" w:space="0"/>
              <w:left w:val="single" w:color="000000" w:sz="4" w:space="0"/>
              <w:bottom w:val="single" w:color="000000" w:sz="4" w:space="0"/>
              <w:right w:val="single" w:color="000000"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可扩容交换网板，且支持网板N+M冗余</w:t>
            </w:r>
            <w:r/>
          </w:p>
        </w:tc>
      </w:tr>
      <w:tr>
        <w:trPr>
          <w:jc w:val="center"/>
          <w:trHeight w:val="288"/>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基本功能</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支持M-LAG或vPC或DRNI等跨机箱链路捆绑技术，支持RIP、OSPF、ISIS、BGP等IPv4动态路由协议，支持RIPng、OSPFv3、ISISv6、BGP4+等IPv6动态路由协议；支持Vxlan协议</w:t>
            </w:r>
            <w:r/>
          </w:p>
        </w:tc>
      </w:tr>
    </w:tbl>
    <w:p>
      <w:pPr>
        <w:pStyle w:val="1038"/>
      </w:pPr>
      <w:r/>
      <w:r/>
    </w:p>
    <w:p>
      <w:pPr>
        <w:numPr>
          <w:ilvl w:val="0"/>
          <w:numId w:val="4"/>
        </w:numPr>
        <w:ind w:left="0"/>
        <w:spacing w:line="360" w:lineRule="auto"/>
        <w:widowControl w:val="off"/>
        <w:rPr>
          <w:rFonts w:ascii="仿宋" w:hAnsi="仿宋" w:eastAsia="仿宋" w:cs="仿宋"/>
          <w:bCs/>
          <w:sz w:val="24"/>
          <w:szCs w:val="24"/>
          <w:lang w:bidi="ar"/>
        </w:rPr>
      </w:pPr>
      <w:r>
        <w:rPr>
          <w:rFonts w:hint="eastAsia" w:ascii="仿宋" w:hAnsi="仿宋" w:eastAsia="仿宋" w:cs="仿宋"/>
          <w:bCs/>
          <w:sz w:val="24"/>
          <w:szCs w:val="24"/>
          <w:lang w:bidi="ar"/>
        </w:rPr>
        <w:t xml:space="preserve">云接入交换机</w:t>
      </w:r>
      <w:r/>
    </w:p>
    <w:tbl>
      <w:tblPr>
        <w:tblStyle w:val="1024"/>
        <w:tblW w:w="8359" w:type="dxa"/>
        <w:jc w:val="center"/>
        <w:tblLayout w:type="fixed"/>
        <w:tblCellMar>
          <w:left w:w="108" w:type="dxa"/>
          <w:top w:w="0" w:type="dxa"/>
          <w:right w:w="108" w:type="dxa"/>
          <w:bottom w:w="0" w:type="dxa"/>
        </w:tblCellMar>
        <w:tblLook w:val="04A0" w:firstRow="1" w:lastRow="0" w:firstColumn="1" w:lastColumn="0" w:noHBand="0" w:noVBand="1"/>
      </w:tblPr>
      <w:tblGrid>
        <w:gridCol w:w="1555"/>
        <w:gridCol w:w="6804"/>
      </w:tblGrid>
      <w:tr>
        <w:trPr>
          <w:jc w:val="center"/>
          <w:trHeight w:val="288"/>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指标项</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技术参数要求</w:t>
            </w:r>
            <w:r/>
          </w:p>
        </w:tc>
      </w:tr>
      <w:tr>
        <w:trPr>
          <w:jc w:val="center"/>
          <w:trHeight w:val="90"/>
        </w:trPr>
        <w:tc>
          <w:tcPr>
            <w:tcBorders>
              <w:top w:val="none" w:color="000000" w:sz="4" w:space="0"/>
              <w:left w:val="single" w:color="000000" w:sz="4" w:space="0"/>
              <w:right w:val="single" w:color="000000" w:sz="4" w:space="0"/>
            </w:tcBorders>
            <w:tcW w:w="1555" w:type="dxa"/>
            <w:vAlign w:val="center"/>
            <w:vMerge w:val="restart"/>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配置参数</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交换容量≥4.8Tbps</w:t>
            </w:r>
            <w:r/>
          </w:p>
        </w:tc>
      </w:tr>
      <w:tr>
        <w:trPr>
          <w:jc w:val="center"/>
          <w:trHeight w:val="162"/>
        </w:trPr>
        <w:tc>
          <w:tcPr>
            <w:tcBorders>
              <w:left w:val="single" w:color="000000" w:sz="4" w:space="0"/>
              <w:right w:val="single" w:color="000000"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包转发率≥2000Mpps</w:t>
            </w:r>
            <w:r/>
          </w:p>
        </w:tc>
      </w:tr>
      <w:tr>
        <w:trPr>
          <w:jc w:val="center"/>
          <w:trHeight w:val="162"/>
        </w:trPr>
        <w:tc>
          <w:tcPr>
            <w:tcBorders>
              <w:left w:val="single" w:color="000000" w:sz="4" w:space="0"/>
              <w:right w:val="single" w:color="000000"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40/100GE光接口≥6个</w:t>
            </w:r>
            <w:r/>
          </w:p>
        </w:tc>
      </w:tr>
      <w:tr>
        <w:trPr>
          <w:jc w:val="center"/>
          <w:trHeight w:val="162"/>
        </w:trPr>
        <w:tc>
          <w:tcPr>
            <w:tcBorders>
              <w:left w:val="single" w:color="000000" w:sz="4" w:space="0"/>
              <w:bottom w:val="single" w:color="auto" w:sz="4" w:space="0"/>
              <w:right w:val="single" w:color="000000"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auto"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10GE光端口数量≥48个</w:t>
            </w:r>
            <w:r/>
          </w:p>
        </w:tc>
      </w:tr>
      <w:tr>
        <w:trPr>
          <w:jc w:val="center"/>
          <w:trHeight w:val="288"/>
        </w:trPr>
        <w:tc>
          <w:tcPr>
            <w:tcBorders>
              <w:top w:val="single" w:color="auto" w:sz="4" w:space="0"/>
              <w:left w:val="single" w:color="auto" w:sz="4" w:space="0"/>
              <w:bottom w:val="single" w:color="auto" w:sz="4" w:space="0"/>
              <w:right w:val="single" w:color="auto" w:sz="4" w:space="0"/>
            </w:tcBorders>
            <w:tcW w:w="1555" w:type="dxa"/>
            <w:vAlign w:val="center"/>
            <w:vMerge w:val="restart"/>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硬件规格</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CPU芯片为国产化芯片</w:t>
            </w:r>
            <w:r/>
          </w:p>
        </w:tc>
      </w:tr>
      <w:tr>
        <w:trPr>
          <w:jc w:val="center"/>
          <w:trHeight w:val="288"/>
        </w:trPr>
        <w:tc>
          <w:tcPr>
            <w:tcBorders>
              <w:top w:val="single" w:color="auto" w:sz="4" w:space="0"/>
              <w:left w:val="single" w:color="auto" w:sz="4" w:space="0"/>
              <w:bottom w:val="single" w:color="auto" w:sz="4" w:space="0"/>
              <w:right w:val="single" w:color="auto"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设备缓存≥32M</w:t>
            </w:r>
            <w:r/>
          </w:p>
        </w:tc>
      </w:tr>
      <w:tr>
        <w:trPr>
          <w:jc w:val="center"/>
          <w:trHeight w:val="288"/>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基本功能</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支持M-LAG或vPC或DRNI等跨机箱链路捆绑技术，支持RIP、OSPF、ISIS、BGP等IPv4动态路由协议，支持RIPng、OSPFv3、ISISv6、BGP4+等IPv6动态路由协议；支持Vxlan协议</w:t>
            </w:r>
            <w:r/>
          </w:p>
        </w:tc>
      </w:tr>
    </w:tbl>
    <w:p>
      <w:pPr>
        <w:ind w:left="0"/>
        <w:spacing w:line="360" w:lineRule="auto"/>
        <w:widowControl w:val="off"/>
        <w:rPr>
          <w:rFonts w:ascii="仿宋" w:hAnsi="仿宋" w:eastAsia="仿宋" w:cs="仿宋"/>
          <w:bCs/>
          <w:sz w:val="24"/>
          <w:szCs w:val="24"/>
          <w:lang w:bidi="ar"/>
        </w:rPr>
      </w:pPr>
      <w:r>
        <w:rPr>
          <w:rFonts w:ascii="仿宋" w:hAnsi="仿宋" w:eastAsia="仿宋" w:cs="仿宋"/>
          <w:bCs/>
          <w:sz w:val="24"/>
          <w:szCs w:val="24"/>
          <w:lang w:bidi="ar"/>
        </w:rPr>
      </w:r>
      <w:r/>
    </w:p>
    <w:p>
      <w:pPr>
        <w:numPr>
          <w:ilvl w:val="0"/>
          <w:numId w:val="4"/>
        </w:numPr>
        <w:ind w:left="0"/>
        <w:spacing w:line="360" w:lineRule="auto"/>
        <w:widowControl w:val="off"/>
        <w:rPr>
          <w:rFonts w:ascii="仿宋" w:hAnsi="仿宋" w:eastAsia="仿宋" w:cs="仿宋"/>
          <w:bCs/>
          <w:sz w:val="24"/>
          <w:szCs w:val="24"/>
          <w:lang w:bidi="ar"/>
        </w:rPr>
      </w:pPr>
      <w:r>
        <w:rPr>
          <w:rFonts w:hint="eastAsia" w:ascii="仿宋" w:hAnsi="仿宋" w:eastAsia="仿宋" w:cs="仿宋"/>
          <w:bCs/>
          <w:sz w:val="24"/>
          <w:szCs w:val="24"/>
          <w:lang w:bidi="ar"/>
        </w:rPr>
        <w:t xml:space="preserve">存储交换机</w:t>
      </w:r>
      <w:r/>
    </w:p>
    <w:tbl>
      <w:tblPr>
        <w:tblStyle w:val="1024"/>
        <w:tblW w:w="8359" w:type="dxa"/>
        <w:jc w:val="center"/>
        <w:tblLayout w:type="fixed"/>
        <w:tblCellMar>
          <w:left w:w="108" w:type="dxa"/>
          <w:top w:w="0" w:type="dxa"/>
          <w:right w:w="108" w:type="dxa"/>
          <w:bottom w:w="0" w:type="dxa"/>
        </w:tblCellMar>
        <w:tblLook w:val="04A0" w:firstRow="1" w:lastRow="0" w:firstColumn="1" w:lastColumn="0" w:noHBand="0" w:noVBand="1"/>
      </w:tblPr>
      <w:tblGrid>
        <w:gridCol w:w="1555"/>
        <w:gridCol w:w="6804"/>
      </w:tblGrid>
      <w:tr>
        <w:trPr>
          <w:jc w:val="center"/>
          <w:trHeight w:val="288"/>
        </w:trPr>
        <w:tc>
          <w:tcPr>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指标项</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center"/>
              <w:widowControl w:val="off"/>
              <w:rPr>
                <w:rFonts w:ascii="仿宋" w:hAnsi="仿宋" w:eastAsia="仿宋" w:cs="仿宋"/>
                <w:b/>
                <w:bCs/>
                <w:sz w:val="24"/>
                <w:szCs w:val="24"/>
              </w:rPr>
            </w:pPr>
            <w:r>
              <w:rPr>
                <w:rFonts w:hint="eastAsia" w:ascii="仿宋" w:hAnsi="仿宋" w:eastAsia="仿宋" w:cs="仿宋"/>
                <w:b/>
                <w:bCs/>
                <w:sz w:val="24"/>
                <w:szCs w:val="24"/>
              </w:rPr>
              <w:t xml:space="preserve">技术参数要求</w:t>
            </w:r>
            <w:r/>
          </w:p>
        </w:tc>
      </w:tr>
      <w:tr>
        <w:trPr>
          <w:jc w:val="center"/>
          <w:trHeight w:val="288"/>
        </w:trPr>
        <w:tc>
          <w:tcPr>
            <w:tcBorders>
              <w:top w:val="none" w:color="000000" w:sz="4" w:space="0"/>
              <w:left w:val="single" w:color="000000" w:sz="4" w:space="0"/>
              <w:right w:val="single" w:color="000000" w:sz="4" w:space="0"/>
            </w:tcBorders>
            <w:tcW w:w="1555" w:type="dxa"/>
            <w:vAlign w:val="center"/>
            <w:vMerge w:val="restart"/>
            <w:textDirection w:val="lrTb"/>
            <w:noWrap w:val="false"/>
          </w:tcPr>
          <w:p>
            <w:pPr>
              <w:ind w:left="0"/>
              <w:jc w:val="left"/>
              <w:widowControl w:val="off"/>
              <w:rPr>
                <w:rFonts w:ascii="仿宋" w:hAnsi="仿宋" w:eastAsia="仿宋_GB2312" w:cs="仿宋"/>
                <w:sz w:val="24"/>
                <w:szCs w:val="24"/>
              </w:rPr>
            </w:pPr>
            <w:r>
              <w:rPr>
                <w:rFonts w:hint="eastAsia" w:ascii="仿宋" w:hAnsi="仿宋" w:eastAsia="仿宋" w:cs="仿宋"/>
                <w:sz w:val="24"/>
                <w:szCs w:val="24"/>
              </w:rPr>
              <w:t xml:space="preserve">配置参数</w:t>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交换容量≥4.8Tbps， </w:t>
            </w:r>
            <w:r/>
          </w:p>
        </w:tc>
      </w:tr>
      <w:tr>
        <w:trPr>
          <w:jc w:val="center"/>
          <w:trHeight w:val="162"/>
        </w:trPr>
        <w:tc>
          <w:tcPr>
            <w:tcBorders>
              <w:left w:val="single" w:color="000000" w:sz="4" w:space="0"/>
              <w:right w:val="single" w:color="000000"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包转发率≥2000Mpps，</w:t>
            </w:r>
            <w:r/>
          </w:p>
        </w:tc>
      </w:tr>
      <w:tr>
        <w:trPr>
          <w:jc w:val="center"/>
          <w:trHeight w:val="162"/>
        </w:trPr>
        <w:tc>
          <w:tcPr>
            <w:tcBorders>
              <w:left w:val="single" w:color="000000" w:sz="4" w:space="0"/>
              <w:right w:val="single" w:color="000000"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000000"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40/100GE光接口≥6个</w:t>
            </w:r>
            <w:r/>
          </w:p>
        </w:tc>
      </w:tr>
      <w:tr>
        <w:trPr>
          <w:jc w:val="center"/>
          <w:trHeight w:val="162"/>
        </w:trPr>
        <w:tc>
          <w:tcPr>
            <w:tcBorders>
              <w:left w:val="single" w:color="000000" w:sz="4" w:space="0"/>
              <w:bottom w:val="single" w:color="auto" w:sz="4" w:space="0"/>
              <w:right w:val="single" w:color="000000"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000000" w:sz="4" w:space="0"/>
              <w:left w:val="none" w:color="000000" w:sz="4" w:space="0"/>
              <w:bottom w:val="single" w:color="auto" w:sz="4" w:space="0"/>
              <w:right w:val="single" w:color="000000"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10GE光端口数量≥48个</w:t>
            </w:r>
            <w:r/>
          </w:p>
        </w:tc>
      </w:tr>
      <w:tr>
        <w:trPr>
          <w:jc w:val="center"/>
          <w:trHeight w:val="288"/>
        </w:trPr>
        <w:tc>
          <w:tcPr>
            <w:tcBorders>
              <w:top w:val="single" w:color="auto" w:sz="4" w:space="0"/>
              <w:left w:val="single" w:color="auto" w:sz="4" w:space="0"/>
              <w:bottom w:val="single" w:color="auto" w:sz="4" w:space="0"/>
              <w:right w:val="single" w:color="auto" w:sz="4" w:space="0"/>
            </w:tcBorders>
            <w:tcW w:w="1555" w:type="dxa"/>
            <w:vAlign w:val="center"/>
            <w:vMerge w:val="restart"/>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硬件规格</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CPU芯片为国产化芯片</w:t>
            </w:r>
            <w:r/>
          </w:p>
        </w:tc>
      </w:tr>
      <w:tr>
        <w:trPr>
          <w:jc w:val="center"/>
          <w:trHeight w:val="288"/>
        </w:trPr>
        <w:tc>
          <w:tcPr>
            <w:tcBorders>
              <w:top w:val="single" w:color="auto" w:sz="4" w:space="0"/>
              <w:left w:val="single" w:color="auto" w:sz="4" w:space="0"/>
              <w:bottom w:val="single" w:color="auto" w:sz="4" w:space="0"/>
              <w:right w:val="single" w:color="auto" w:sz="4" w:space="0"/>
            </w:tcBorders>
            <w:tcW w:w="1555" w:type="dxa"/>
            <w:vAlign w:val="center"/>
            <w:vMerge w:val="continue"/>
            <w:textDirection w:val="lrTb"/>
            <w:noWrap w:val="false"/>
          </w:tcPr>
          <w:p>
            <w:pPr>
              <w:ind w:left="0"/>
              <w:jc w:val="left"/>
              <w:widowControl w:val="off"/>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设备缓存≥32M</w:t>
            </w:r>
            <w:r/>
          </w:p>
        </w:tc>
      </w:tr>
      <w:tr>
        <w:trPr>
          <w:jc w:val="center"/>
          <w:trHeight w:val="288"/>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基本功能</w:t>
            </w:r>
            <w:r/>
          </w:p>
        </w:tc>
        <w:tc>
          <w:tcPr>
            <w:tcBorders>
              <w:top w:val="single" w:color="auto" w:sz="4" w:space="0"/>
              <w:left w:val="single" w:color="auto" w:sz="4" w:space="0"/>
              <w:bottom w:val="single" w:color="auto" w:sz="4" w:space="0"/>
              <w:right w:val="single" w:color="auto" w:sz="4" w:space="0"/>
            </w:tcBorders>
            <w:tcW w:w="6804" w:type="dxa"/>
            <w:vAlign w:val="center"/>
            <w:textDirection w:val="lrTb"/>
            <w:noWrap w:val="false"/>
          </w:tcPr>
          <w:p>
            <w:pPr>
              <w:ind w:left="0"/>
              <w:jc w:val="left"/>
              <w:widowControl w:val="off"/>
              <w:rPr>
                <w:rFonts w:ascii="仿宋" w:hAnsi="仿宋" w:eastAsia="仿宋" w:cs="仿宋"/>
                <w:sz w:val="24"/>
                <w:szCs w:val="24"/>
              </w:rPr>
            </w:pPr>
            <w:r>
              <w:rPr>
                <w:rFonts w:hint="eastAsia" w:ascii="仿宋" w:hAnsi="仿宋" w:eastAsia="仿宋" w:cs="仿宋"/>
                <w:sz w:val="24"/>
                <w:szCs w:val="24"/>
              </w:rPr>
              <w:t xml:space="preserve">支持M-LAG或vPC或DRNI等跨机箱链路捆绑技术，支持RIP、OSPF、ISIS、BGP等IPv4动态路由协议，支持RIPng、OSPFv3、ISISv6、BGP4+等IPv6动态路由协议；支持Vxlan协议</w:t>
            </w:r>
            <w:r/>
          </w:p>
        </w:tc>
      </w:tr>
    </w:tbl>
    <w:p>
      <w:pPr>
        <w:ind w:left="0"/>
        <w:spacing w:line="360" w:lineRule="auto"/>
        <w:widowControl w:val="off"/>
        <w:rPr>
          <w:rFonts w:ascii="仿宋" w:hAnsi="仿宋" w:eastAsia="仿宋" w:cs="仿宋"/>
          <w:bCs/>
          <w:sz w:val="24"/>
          <w:szCs w:val="24"/>
          <w:lang w:bidi="ar"/>
        </w:rPr>
      </w:pPr>
      <w:r>
        <w:rPr>
          <w:rFonts w:ascii="仿宋" w:hAnsi="仿宋" w:eastAsia="仿宋" w:cs="仿宋"/>
          <w:bCs/>
          <w:sz w:val="24"/>
          <w:szCs w:val="24"/>
          <w:lang w:bidi="ar"/>
        </w:rPr>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1.2.10.计算资源服务要求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1.2.10.</w:t>
      </w:r>
      <w:r>
        <w:rPr>
          <w:rFonts w:ascii="宋体" w:hAnsi="宋体"/>
          <w:b/>
          <w:bCs/>
          <w:sz w:val="21"/>
          <w:szCs w:val="21"/>
        </w:rPr>
        <w:t xml:space="preserve">1.</w:t>
      </w:r>
      <w:r>
        <w:rPr>
          <w:rFonts w:hint="eastAsia" w:ascii="宋体" w:hAnsi="宋体"/>
          <w:b/>
          <w:bCs/>
          <w:sz w:val="21"/>
          <w:szCs w:val="21"/>
        </w:rPr>
        <w:t xml:space="preserve">功能要求</w:t>
      </w:r>
      <w:r/>
    </w:p>
    <w:p>
      <w:pPr>
        <w:ind w:left="0" w:firstLine="420"/>
        <w:spacing w:line="360" w:lineRule="auto"/>
        <w:widowControl w:val="off"/>
        <w:rPr>
          <w:rFonts w:ascii="宋体" w:hAnsi="宋体" w:cs="仿宋_GB2312"/>
          <w:sz w:val="21"/>
          <w:szCs w:val="21"/>
        </w:rPr>
      </w:pPr>
      <w:r>
        <w:rPr>
          <w:rFonts w:hint="eastAsia" w:ascii="宋体" w:hAnsi="宋体" w:cs="仿宋_GB2312"/>
          <w:bCs/>
          <w:sz w:val="21"/>
          <w:szCs w:val="21"/>
          <w:lang w:bidi="ar"/>
        </w:rPr>
        <w:t xml:space="preserve">为满足政务业务资源需要，在苏州市国产化政务云政务外网区和互联网区分别建设资源池，支持部署云主机，满足使用单位业务需求。资源池支持C86、ARM等主流技术路线服务能力。同时云</w:t>
      </w:r>
      <w:r>
        <w:rPr>
          <w:rFonts w:hint="eastAsia" w:ascii="宋体" w:hAnsi="宋体" w:cs="仿宋_GB2312"/>
          <w:sz w:val="21"/>
          <w:szCs w:val="21"/>
        </w:rPr>
        <w:t xml:space="preserve">服务商所建设的资源池需要支持可使用采购单位或使用单位所提供的统采设备配合其他所需资源进行构建。</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1.2.10.</w:t>
      </w:r>
      <w:r>
        <w:rPr>
          <w:rFonts w:ascii="宋体" w:hAnsi="宋体"/>
          <w:b/>
          <w:bCs/>
          <w:sz w:val="21"/>
          <w:szCs w:val="21"/>
        </w:rPr>
        <w:t xml:space="preserve">2.</w:t>
      </w:r>
      <w:r>
        <w:rPr>
          <w:rFonts w:hint="eastAsia" w:ascii="宋体" w:hAnsi="宋体"/>
          <w:b/>
          <w:bCs/>
          <w:sz w:val="21"/>
          <w:szCs w:val="21"/>
        </w:rPr>
        <w:t xml:space="preserve">技术要求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计算服务能够提供弹性云服务器、镜像及弹性伸缩等计算相关资源，可以使用户可以在几分钟之内迅速地获得虚拟机设施，并且这些基础设施是弹性的，可以根据需求进行扩展和收缩。</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本次项目所提供的基础计算资源节点须与苏州市国产化政务云平台兼容对接，兼容对接所产生的软件授权或定制开发等费用等均由云服务商自行承担。</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1.2.10.</w:t>
      </w:r>
      <w:r>
        <w:rPr>
          <w:rFonts w:ascii="宋体" w:hAnsi="宋体"/>
          <w:b/>
          <w:bCs/>
          <w:sz w:val="21"/>
          <w:szCs w:val="21"/>
        </w:rPr>
        <w:t xml:space="preserve">3.</w:t>
      </w:r>
      <w:r>
        <w:rPr>
          <w:rFonts w:hint="eastAsia" w:ascii="宋体" w:hAnsi="宋体"/>
          <w:b/>
          <w:bCs/>
          <w:sz w:val="21"/>
          <w:szCs w:val="21"/>
        </w:rPr>
        <w:t xml:space="preserve">参数要求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随着政务应用不断增长以及对计算资源要求的不断提升，通用计算服务器需提供高性能的CPU及内存资源。相关硬件设备参考以下参数要求。</w:t>
      </w:r>
      <w:r/>
    </w:p>
    <w:p>
      <w:pPr>
        <w:ind w:left="0"/>
        <w:spacing w:line="360" w:lineRule="auto"/>
        <w:widowControl w:val="off"/>
        <w:rPr>
          <w:rFonts w:ascii="宋体" w:hAnsi="宋体" w:cs="仿宋"/>
          <w:bCs/>
          <w:sz w:val="21"/>
          <w:szCs w:val="21"/>
          <w:lang w:bidi="ar"/>
        </w:rPr>
      </w:pPr>
      <w:r>
        <w:rPr>
          <w:rFonts w:hint="eastAsia" w:ascii="宋体" w:hAnsi="宋体" w:cs="仿宋"/>
          <w:bCs/>
          <w:sz w:val="21"/>
          <w:szCs w:val="21"/>
          <w:lang w:bidi="ar"/>
        </w:rPr>
        <w:t xml:space="preserve">（</w:t>
      </w:r>
      <w:r>
        <w:rPr>
          <w:rFonts w:ascii="宋体" w:hAnsi="宋体" w:cs="Times New Roman"/>
          <w:bCs/>
          <w:sz w:val="21"/>
          <w:szCs w:val="21"/>
          <w:lang w:bidi="ar"/>
        </w:rPr>
        <w:t xml:space="preserve">1</w:t>
      </w:r>
      <w:r>
        <w:rPr>
          <w:rFonts w:hint="eastAsia" w:ascii="宋体" w:hAnsi="宋体" w:cs="仿宋"/>
          <w:bCs/>
          <w:sz w:val="21"/>
          <w:szCs w:val="21"/>
          <w:lang w:bidi="ar"/>
        </w:rPr>
        <w:t xml:space="preserve">）</w:t>
      </w:r>
      <w:r>
        <w:rPr>
          <w:rFonts w:ascii="宋体" w:hAnsi="宋体" w:cs="Times New Roman"/>
          <w:bCs/>
          <w:sz w:val="21"/>
          <w:szCs w:val="21"/>
          <w:lang w:bidi="ar"/>
        </w:rPr>
        <w:t xml:space="preserve">C86</w:t>
      </w:r>
      <w:r>
        <w:rPr>
          <w:rFonts w:hint="eastAsia" w:ascii="宋体" w:hAnsi="宋体" w:cs="仿宋"/>
          <w:bCs/>
          <w:sz w:val="21"/>
          <w:szCs w:val="21"/>
          <w:lang w:bidi="ar"/>
        </w:rPr>
        <w:t xml:space="preserve">计算服务器</w:t>
      </w:r>
      <w:r/>
    </w:p>
    <w:tbl>
      <w:tblPr>
        <w:tblStyle w:val="10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90"/>
        <w:gridCol w:w="8288"/>
      </w:tblGrid>
      <w:tr>
        <w:trPr>
          <w:trHeight w:val="482"/>
        </w:trPr>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ind w:left="0"/>
              <w:jc w:val="center"/>
              <w:widowControl w:val="off"/>
              <w:rPr>
                <w:rFonts w:ascii="宋体" w:hAnsi="宋体" w:cs="仿宋"/>
                <w:b/>
                <w:bCs/>
                <w:sz w:val="21"/>
                <w:szCs w:val="21"/>
              </w:rPr>
            </w:pPr>
            <w:r>
              <w:rPr>
                <w:rFonts w:hint="eastAsia" w:ascii="宋体" w:hAnsi="宋体" w:cs="仿宋"/>
                <w:b/>
                <w:bCs/>
                <w:sz w:val="21"/>
                <w:szCs w:val="21"/>
              </w:rPr>
              <w:t xml:space="preserve">指标项</w:t>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center"/>
              <w:widowControl w:val="off"/>
              <w:rPr>
                <w:rFonts w:ascii="宋体" w:hAnsi="宋体" w:cs="仿宋"/>
                <w:b/>
                <w:bCs/>
                <w:sz w:val="21"/>
                <w:szCs w:val="21"/>
              </w:rPr>
            </w:pPr>
            <w:r>
              <w:rPr>
                <w:rFonts w:hint="eastAsia" w:ascii="宋体" w:hAnsi="宋体" w:cs="仿宋"/>
                <w:b/>
                <w:bCs/>
                <w:sz w:val="21"/>
                <w:szCs w:val="21"/>
              </w:rPr>
              <w:t xml:space="preserve">技术参数要求</w:t>
            </w:r>
            <w:r/>
          </w:p>
        </w:tc>
      </w:tr>
      <w:tr>
        <w:trPr>
          <w:trHeight w:val="90"/>
        </w:trPr>
        <w:tc>
          <w:tcPr>
            <w:tcBorders>
              <w:top w:val="single" w:color="auto" w:sz="4" w:space="0"/>
              <w:left w:val="single" w:color="auto" w:sz="4" w:space="0"/>
              <w:right w:val="single" w:color="auto" w:sz="4" w:space="0"/>
            </w:tcBorders>
            <w:tcW w:w="888" w:type="pct"/>
            <w:vAlign w:val="center"/>
            <w:vMerge w:val="restart"/>
            <w:textDirection w:val="lrTb"/>
            <w:noWrap w:val="false"/>
          </w:tcPr>
          <w:p>
            <w:pPr>
              <w:ind w:left="0"/>
              <w:rPr>
                <w:rFonts w:ascii="宋体" w:hAnsi="宋体" w:cs="仿宋"/>
                <w:sz w:val="21"/>
                <w:szCs w:val="21"/>
              </w:rPr>
            </w:pPr>
            <w:r>
              <w:rPr>
                <w:rFonts w:hint="eastAsia" w:ascii="宋体" w:hAnsi="宋体" w:cs="仿宋"/>
                <w:sz w:val="21"/>
                <w:szCs w:val="21"/>
              </w:rPr>
              <w:t xml:space="preserve">▲配置参数</w:t>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处理器实配≥2颗C86处理器，单颗主频≥2.2GHz，内核数≥32核；</w:t>
            </w:r>
            <w:r/>
          </w:p>
        </w:tc>
      </w:tr>
      <w:tr>
        <w:trPr>
          <w:trHeight w:val="90"/>
        </w:trPr>
        <w:tc>
          <w:tcPr>
            <w:tcBorders>
              <w:left w:val="single" w:color="auto" w:sz="4" w:space="0"/>
              <w:right w:val="single" w:color="auto" w:sz="4" w:space="0"/>
            </w:tcBorders>
            <w:tcW w:w="888" w:type="pct"/>
            <w:vAlign w:val="center"/>
            <w:vMerge w:val="continue"/>
            <w:textDirection w:val="lrTb"/>
            <w:noWrap w:val="false"/>
          </w:tcPr>
          <w:p>
            <w:pPr>
              <w:ind w:left="0"/>
              <w:jc w:val="left"/>
              <w:widowControl w:val="off"/>
              <w:rPr>
                <w:rFonts w:ascii="宋体" w:hAnsi="宋体" w:cs="仿宋"/>
                <w:sz w:val="21"/>
                <w:szCs w:val="21"/>
              </w:rPr>
            </w:pPr>
            <w:r>
              <w:rPr>
                <w:rFonts w:ascii="宋体" w:hAnsi="宋体" w:cs="仿宋"/>
                <w:sz w:val="21"/>
                <w:szCs w:val="21"/>
              </w:rPr>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内存实配≥1024GB内存；</w:t>
            </w:r>
            <w:r/>
          </w:p>
        </w:tc>
      </w:tr>
      <w:tr>
        <w:trPr>
          <w:trHeight w:val="90"/>
        </w:trPr>
        <w:tc>
          <w:tcPr>
            <w:tcBorders>
              <w:left w:val="single" w:color="auto" w:sz="4" w:space="0"/>
              <w:bottom w:val="single" w:color="auto" w:sz="4" w:space="0"/>
              <w:right w:val="single" w:color="auto" w:sz="4" w:space="0"/>
            </w:tcBorders>
            <w:tcW w:w="888" w:type="pct"/>
            <w:vAlign w:val="center"/>
            <w:vMerge w:val="continue"/>
            <w:textDirection w:val="lrTb"/>
            <w:noWrap w:val="false"/>
          </w:tcPr>
          <w:p>
            <w:pPr>
              <w:ind w:left="0"/>
              <w:jc w:val="left"/>
              <w:widowControl w:val="off"/>
              <w:rPr>
                <w:rFonts w:ascii="宋体" w:hAnsi="宋体" w:cs="仿宋"/>
                <w:sz w:val="21"/>
                <w:szCs w:val="21"/>
              </w:rPr>
            </w:pPr>
            <w:r>
              <w:rPr>
                <w:rFonts w:ascii="宋体" w:hAnsi="宋体" w:cs="仿宋"/>
                <w:sz w:val="21"/>
                <w:szCs w:val="21"/>
              </w:rPr>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硬盘实配≥2*960GB SSD硬盘；</w:t>
            </w:r>
            <w:r/>
          </w:p>
        </w:tc>
      </w:tr>
      <w:tr>
        <w:trPr>
          <w:trHeight w:val="454"/>
        </w:trPr>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通用要求</w:t>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配置必要的网卡、raid卡，考虑关键设备的冗余性 </w:t>
            </w:r>
            <w:r/>
          </w:p>
        </w:tc>
      </w:tr>
      <w:tr>
        <w:trPr>
          <w:trHeight w:val="454"/>
        </w:trPr>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统一管理</w:t>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设备须与苏州市国产化政务云平台兼容对接，实现苏州市国产化政务云计算资源统一纳管。</w:t>
            </w:r>
            <w:r/>
          </w:p>
        </w:tc>
      </w:tr>
    </w:tbl>
    <w:p>
      <w:pPr>
        <w:pStyle w:val="1025"/>
        <w:rPr>
          <w:rFonts w:ascii="宋体" w:hAnsi="宋体"/>
          <w:sz w:val="21"/>
          <w:szCs w:val="21"/>
        </w:rPr>
      </w:pPr>
      <w:r>
        <w:rPr>
          <w:rFonts w:ascii="宋体" w:hAnsi="宋体"/>
          <w:sz w:val="21"/>
          <w:szCs w:val="21"/>
        </w:rPr>
      </w:r>
      <w:r/>
    </w:p>
    <w:p>
      <w:pPr>
        <w:ind w:left="0"/>
        <w:spacing w:line="360" w:lineRule="auto"/>
        <w:widowControl w:val="off"/>
        <w:rPr>
          <w:rFonts w:ascii="宋体" w:hAnsi="宋体" w:cs="仿宋"/>
          <w:bCs/>
          <w:sz w:val="21"/>
          <w:szCs w:val="21"/>
          <w:lang w:bidi="ar"/>
        </w:rPr>
      </w:pPr>
      <w:r>
        <w:rPr>
          <w:rFonts w:ascii="宋体" w:hAnsi="宋体" w:cs="仿宋"/>
          <w:bCs/>
          <w:sz w:val="21"/>
          <w:szCs w:val="21"/>
          <w:lang w:bidi="ar"/>
        </w:rPr>
        <w:t xml:space="preserve">（2）</w:t>
      </w:r>
      <w:r>
        <w:rPr>
          <w:rFonts w:hint="eastAsia" w:ascii="宋体" w:hAnsi="宋体" w:cs="仿宋"/>
          <w:bCs/>
          <w:sz w:val="21"/>
          <w:szCs w:val="21"/>
          <w:lang w:bidi="ar"/>
        </w:rPr>
        <w:t xml:space="preserve">ARM计算服务器</w:t>
      </w:r>
      <w:r/>
    </w:p>
    <w:tbl>
      <w:tblPr>
        <w:tblStyle w:val="10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90"/>
        <w:gridCol w:w="8288"/>
      </w:tblGrid>
      <w:tr>
        <w:trPr>
          <w:trHeight w:val="90"/>
        </w:trPr>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ind w:left="0"/>
              <w:jc w:val="center"/>
              <w:widowControl w:val="off"/>
              <w:rPr>
                <w:rFonts w:ascii="宋体" w:hAnsi="宋体" w:cs="仿宋"/>
                <w:b/>
                <w:bCs/>
                <w:sz w:val="21"/>
                <w:szCs w:val="21"/>
              </w:rPr>
            </w:pPr>
            <w:r/>
            <w:bookmarkStart w:id="91" w:name="_Toc362266390"/>
            <w:r>
              <w:rPr>
                <w:rFonts w:hint="eastAsia" w:ascii="宋体" w:hAnsi="宋体" w:cs="仿宋"/>
                <w:b/>
                <w:bCs/>
                <w:sz w:val="21"/>
                <w:szCs w:val="21"/>
              </w:rPr>
              <w:t xml:space="preserve">指标项</w:t>
            </w:r>
            <w:bookmarkEnd w:id="91"/>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center"/>
              <w:widowControl w:val="off"/>
              <w:rPr>
                <w:rFonts w:ascii="宋体" w:hAnsi="宋体" w:cs="仿宋"/>
                <w:b/>
                <w:bCs/>
                <w:sz w:val="21"/>
                <w:szCs w:val="21"/>
              </w:rPr>
            </w:pPr>
            <w:r>
              <w:rPr>
                <w:rFonts w:hint="eastAsia" w:ascii="宋体" w:hAnsi="宋体" w:cs="仿宋"/>
                <w:b/>
                <w:bCs/>
                <w:sz w:val="21"/>
                <w:szCs w:val="21"/>
              </w:rPr>
              <w:t xml:space="preserve">技术参数要求</w:t>
            </w:r>
            <w:r/>
          </w:p>
        </w:tc>
      </w:tr>
      <w:tr>
        <w:trPr>
          <w:trHeight w:val="90"/>
        </w:trPr>
        <w:tc>
          <w:tcPr>
            <w:tcBorders>
              <w:top w:val="single" w:color="auto" w:sz="4" w:space="0"/>
              <w:left w:val="single" w:color="auto" w:sz="4" w:space="0"/>
              <w:right w:val="single" w:color="auto" w:sz="4" w:space="0"/>
            </w:tcBorders>
            <w:tcW w:w="888" w:type="pct"/>
            <w:vAlign w:val="center"/>
            <w:vMerge w:val="restart"/>
            <w:textDirection w:val="lrTb"/>
            <w:noWrap w:val="false"/>
          </w:tcPr>
          <w:p>
            <w:pPr>
              <w:ind w:left="0"/>
              <w:rPr>
                <w:rFonts w:ascii="宋体" w:hAnsi="宋体" w:cs="仿宋"/>
                <w:sz w:val="21"/>
                <w:szCs w:val="21"/>
              </w:rPr>
            </w:pPr>
            <w:r>
              <w:rPr>
                <w:rFonts w:hint="eastAsia" w:ascii="宋体" w:hAnsi="宋体" w:cs="仿宋"/>
                <w:sz w:val="21"/>
                <w:szCs w:val="21"/>
              </w:rPr>
              <w:t xml:space="preserve">▲配置参数</w:t>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处理器实配≥2颗ARM处理器，单颗主频≥2.6GHz，内核数≥64核；</w:t>
            </w:r>
            <w:r/>
          </w:p>
        </w:tc>
      </w:tr>
      <w:tr>
        <w:trPr>
          <w:trHeight w:val="90"/>
        </w:trPr>
        <w:tc>
          <w:tcPr>
            <w:tcBorders>
              <w:left w:val="single" w:color="auto" w:sz="4" w:space="0"/>
              <w:right w:val="single" w:color="auto" w:sz="4" w:space="0"/>
            </w:tcBorders>
            <w:tcW w:w="888" w:type="pct"/>
            <w:vAlign w:val="center"/>
            <w:vMerge w:val="continue"/>
            <w:textDirection w:val="lrTb"/>
            <w:noWrap w:val="false"/>
          </w:tcPr>
          <w:p>
            <w:pPr>
              <w:ind w:left="0"/>
              <w:jc w:val="left"/>
              <w:widowControl w:val="off"/>
              <w:rPr>
                <w:rFonts w:ascii="宋体" w:hAnsi="宋体" w:cs="仿宋"/>
                <w:sz w:val="21"/>
                <w:szCs w:val="21"/>
              </w:rPr>
            </w:pPr>
            <w:r>
              <w:rPr>
                <w:rFonts w:ascii="宋体" w:hAnsi="宋体" w:cs="仿宋"/>
                <w:sz w:val="21"/>
                <w:szCs w:val="21"/>
              </w:rPr>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内存实配≥1024GB内存；</w:t>
            </w:r>
            <w:r/>
          </w:p>
        </w:tc>
      </w:tr>
      <w:tr>
        <w:trPr>
          <w:trHeight w:val="90"/>
        </w:trPr>
        <w:tc>
          <w:tcPr>
            <w:tcBorders>
              <w:left w:val="single" w:color="auto" w:sz="4" w:space="0"/>
              <w:bottom w:val="single" w:color="auto" w:sz="4" w:space="0"/>
              <w:right w:val="single" w:color="auto" w:sz="4" w:space="0"/>
            </w:tcBorders>
            <w:tcW w:w="888" w:type="pct"/>
            <w:vAlign w:val="center"/>
            <w:vMerge w:val="continue"/>
            <w:textDirection w:val="lrTb"/>
            <w:noWrap w:val="false"/>
          </w:tcPr>
          <w:p>
            <w:pPr>
              <w:ind w:left="0"/>
              <w:jc w:val="left"/>
              <w:widowControl w:val="off"/>
              <w:rPr>
                <w:rFonts w:ascii="宋体" w:hAnsi="宋体" w:cs="仿宋"/>
                <w:sz w:val="21"/>
                <w:szCs w:val="21"/>
              </w:rPr>
            </w:pPr>
            <w:r>
              <w:rPr>
                <w:rFonts w:ascii="宋体" w:hAnsi="宋体" w:cs="仿宋"/>
                <w:sz w:val="21"/>
                <w:szCs w:val="21"/>
              </w:rPr>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硬盘实配≥2块960GB SSD硬盘；</w:t>
            </w:r>
            <w:r/>
          </w:p>
        </w:tc>
      </w:tr>
      <w:tr>
        <w:trPr>
          <w:trHeight w:val="90"/>
        </w:trPr>
        <w:tc>
          <w:tcPr>
            <w:tcBorders>
              <w:top w:val="single" w:color="auto" w:sz="4" w:space="0"/>
              <w:left w:val="single" w:color="auto" w:sz="4" w:space="0"/>
              <w:bottom w:val="single" w:color="auto" w:sz="4" w:space="0"/>
              <w:right w:val="single" w:color="auto" w:sz="4" w:space="0"/>
            </w:tcBorders>
            <w:tcW w:w="888"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通用要求</w:t>
            </w:r>
            <w:r/>
          </w:p>
        </w:tc>
        <w:tc>
          <w:tcPr>
            <w:tcBorders>
              <w:top w:val="single" w:color="auto" w:sz="4" w:space="0"/>
              <w:left w:val="single" w:color="auto" w:sz="4" w:space="0"/>
              <w:bottom w:val="single" w:color="auto" w:sz="4" w:space="0"/>
              <w:right w:val="single" w:color="auto" w:sz="4" w:space="0"/>
            </w:tcBorders>
            <w:tcW w:w="4111" w:type="pct"/>
            <w:vAlign w:val="center"/>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配置必要的网卡、raid卡，考虑关键设备的冗余性 </w:t>
            </w:r>
            <w:r/>
          </w:p>
        </w:tc>
      </w:tr>
      <w:tr>
        <w:trPr>
          <w:trHeight w:val="454"/>
        </w:trPr>
        <w:tc>
          <w:tcPr>
            <w:tcBorders>
              <w:top w:val="single" w:color="auto" w:sz="4" w:space="0"/>
              <w:left w:val="single" w:color="auto" w:sz="4" w:space="0"/>
              <w:bottom w:val="single" w:color="auto" w:sz="4" w:space="0"/>
              <w:right w:val="single" w:color="auto" w:sz="4" w:space="0"/>
            </w:tcBorders>
            <w:tcW w:w="888" w:type="pct"/>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统一管理</w:t>
            </w:r>
            <w:r/>
          </w:p>
        </w:tc>
        <w:tc>
          <w:tcPr>
            <w:tcBorders>
              <w:top w:val="single" w:color="auto" w:sz="4" w:space="0"/>
              <w:left w:val="single" w:color="auto" w:sz="4" w:space="0"/>
              <w:bottom w:val="single" w:color="auto" w:sz="4" w:space="0"/>
              <w:right w:val="single" w:color="auto" w:sz="4" w:space="0"/>
            </w:tcBorders>
            <w:tcW w:w="4111" w:type="pct"/>
            <w:textDirection w:val="lrTb"/>
            <w:noWrap w:val="false"/>
          </w:tcPr>
          <w:p>
            <w:pPr>
              <w:ind w:left="0"/>
              <w:jc w:val="left"/>
              <w:widowControl w:val="off"/>
              <w:rPr>
                <w:rFonts w:ascii="宋体" w:hAnsi="宋体" w:cs="仿宋"/>
                <w:sz w:val="21"/>
                <w:szCs w:val="21"/>
              </w:rPr>
            </w:pPr>
            <w:r>
              <w:rPr>
                <w:rFonts w:hint="eastAsia" w:ascii="宋体" w:hAnsi="宋体" w:cs="仿宋"/>
                <w:sz w:val="21"/>
                <w:szCs w:val="21"/>
              </w:rPr>
              <w:t xml:space="preserve">设备须与苏州市国产化政务云平台兼容对接，实现苏州市国产化政务云计算资源统一纳管。</w:t>
            </w:r>
            <w:r/>
          </w:p>
        </w:tc>
      </w:tr>
    </w:tbl>
    <w:p>
      <w:pPr>
        <w:pStyle w:val="1025"/>
        <w:ind w:left="0" w:firstLine="0"/>
        <w:rPr>
          <w:rFonts w:ascii="宋体" w:hAnsi="宋体"/>
          <w:sz w:val="21"/>
          <w:szCs w:val="21"/>
        </w:rPr>
      </w:pPr>
      <w:r>
        <w:rPr>
          <w:rFonts w:ascii="宋体" w:hAnsi="宋体"/>
          <w:sz w:val="21"/>
          <w:szCs w:val="21"/>
        </w:rPr>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1.2.11.国产化数据库专用资源池要求</w:t>
      </w:r>
      <w:r/>
    </w:p>
    <w:p>
      <w:pPr>
        <w:ind w:left="0" w:firstLine="420"/>
        <w:spacing w:line="360" w:lineRule="auto"/>
        <w:shd w:val="clear" w:color="auto" w:fill="ffffff"/>
        <w:widowControl w:val="off"/>
        <w:rPr>
          <w:rFonts w:ascii="宋体" w:hAnsi="宋体" w:cs="仿宋_GB2312"/>
          <w:sz w:val="21"/>
          <w:szCs w:val="21"/>
        </w:rPr>
      </w:pPr>
      <w:r>
        <w:rPr>
          <w:rFonts w:hint="eastAsia" w:ascii="宋体" w:hAnsi="宋体" w:cs="仿宋_GB2312"/>
          <w:sz w:val="21"/>
          <w:szCs w:val="21"/>
        </w:rPr>
        <w:t xml:space="preserve">为提升国产数据库的性能、稳定性，强化数据库运维支撑能力，提升数据库的运维效率和质量，优化数据库的备份管理机制，提升数据库的备份恢复效率，提升业务数据的安全性，要求构建安全可控、高效、稳定、可弹性扩展的国产数据库资源池。</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提供融合高性能计算、热插拔闪存、高速互联网络、RDMA 远程直接存取数据的多元异构数据库运行环境。同时提供国产化数据库统一运维管理平台，实现自动化安装部署、实时监控告警、智能巡检、性能分析等自动运维服务支撑，能有效降低用户部署和使用异构国产数据库的难度和周期，提升国产数据库管理服务质量和业务交付上线实施效率。</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1.2.12.容器服务要求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1.2.12.</w:t>
      </w:r>
      <w:r>
        <w:rPr>
          <w:rFonts w:ascii="宋体" w:hAnsi="宋体"/>
          <w:b/>
          <w:bCs/>
          <w:sz w:val="21"/>
          <w:szCs w:val="21"/>
        </w:rPr>
        <w:t xml:space="preserve">1.</w:t>
      </w:r>
      <w:r>
        <w:rPr>
          <w:rFonts w:hint="eastAsia" w:ascii="宋体" w:hAnsi="宋体"/>
          <w:b/>
          <w:bCs/>
          <w:sz w:val="21"/>
          <w:szCs w:val="21"/>
        </w:rPr>
        <w:t xml:space="preserve">功能要求</w:t>
      </w:r>
      <w:r>
        <w:rPr>
          <w:rFonts w:ascii="宋体" w:hAnsi="宋体"/>
          <w:b/>
          <w:bCs/>
          <w:sz w:val="21"/>
          <w:szCs w:val="21"/>
        </w:rPr>
        <w:t xml:space="preserve"> </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容器服务需具备从基础设施到应用运维的全生命周期管理功能，包括不限于容器平台基础服务、平台运维服务、技术支持服务。云容器支持云原生技术服务体系，提供高性能容器集群托管服务；支持多集群统一管理和智能弹性伸缩，提供弹性伸缩的弹性算力池；支持网络策略、安全组、微隔离等多层防护，提供满足等保合规要求的能力；支持全方位的监控可观测性服务，提供智能告警机制，确保达到服务可用性标准；支持完善的日志分析体系，提供多集群可视化管理和资源优化功能，支撑稳定、安全、高效的容器化运行环境。</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云容器引擎服务，支持托管Kubernetes集群，可进一步简化基于容器的应用程序部署和管理，同时支持轻松创建Kubernetes集群、快速部署容器化应用，并高效地进行集群的管理与维护。</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云容器实例服务，敏捷安全的容器运行服务，无需管理底层服务器，也无需关心运行过程中的容量规划，只需提供制作好的Docker镜像，即可运行容器。</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容器镜像服务，提供简单易用、安全可靠的镜像管理功能，实现快速部署容器化服务。通过使用容器镜像服务，无需自建和维护镜像仓库，即可享有镜像安全托管及高效分发服务，并且可配合云容器引擎、云容器实例，获得容器上云的顺畅体验。</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1.2.12.</w:t>
      </w:r>
      <w:r>
        <w:rPr>
          <w:rFonts w:ascii="宋体" w:hAnsi="宋体"/>
          <w:b/>
          <w:bCs/>
          <w:sz w:val="21"/>
          <w:szCs w:val="21"/>
        </w:rPr>
        <w:t xml:space="preserve">2.</w:t>
      </w:r>
      <w:r>
        <w:rPr>
          <w:rFonts w:hint="eastAsia" w:ascii="宋体" w:hAnsi="宋体"/>
          <w:b/>
          <w:bCs/>
          <w:sz w:val="21"/>
          <w:szCs w:val="21"/>
        </w:rPr>
        <w:t xml:space="preserve">技术要求</w:t>
      </w:r>
      <w:r>
        <w:rPr>
          <w:rFonts w:ascii="宋体" w:hAnsi="宋体"/>
          <w:b/>
          <w:bCs/>
          <w:sz w:val="21"/>
          <w:szCs w:val="21"/>
        </w:rPr>
        <w:t xml:space="preserve"> </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云容器应基于云原生架构，采用容器化、微服务化的技术路径，提供基于 K8S 和 Docker引擎的容器服务，确保具备高可用性、高扩展性和安全性。技术路线选择应遵循开放性、标准化原则，保持技术中立，保证系统的长期可维护性。</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容器服务应实现镜像仓库、应用管理、容器生命周期管理、性能监控、日志管理、微服务引擎、API 网关、DevOps平台等全方位的容器业务管理能力，可以帮助用户快速部署上线容器化应用，并自动实现容器的高可用、资源编排、弹性伸缩、灰度升级等特性，确保运行业务的延续性并提供便捷的业务运维。</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架构设计采用分层架构设计，实现控制平面与数据平面分离。控制平面负责集群管理、调度等核心功能，数据平面专注于业务流量处理。各组件间通过定义清晰的API接口进行通信，保证系统的松耦合性。核心容器编排引擎采用主流技术栈，网络插件需支持CNI标准，存储系统需支持CSI标准，确保组件的可替换性和互操作性。</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容器引擎服务，支持纳管多个容器集群,支持可视化创建新集群，支持不同的租户模型,满足用户多样化运营管理需求。云容器引擎可以根据资源使用情况，实现工作负载的自动扩容和缩容，并可以自由组合多种弹性策略，以应对业务高峰期的突发流量。云容器引擎支持深度整合计算、网络、存储等服务，支持二层和三层网络管理，并支持C86、ARM等异构计算架构。支持可视化持续流水线，实现从源码到发布的一键式部署。支持对容器平台和业务集群进行巡检，并生成巡检报告。</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容器实例服务，敏捷安全的容器运行服务。一个实例对应一个容器组，包含vCPU、内存、操作系统、容器运行时、网络、存储等基础组件。云容器实例支持用户自定义弹性伸缩策略，实现秒级弹性扩缩容，并可以自由组合多种弹性策略以应对业务高峰期的突发流量。云容器实例支持将数据存储在云服务的云存储上。云容器实例支持监控容器运行的资源使用率，包括CPU、内存的使用率，方便实时掌控容器运行的状态。</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容器镜像服务，支持镜像托管、分发服务、镜像安全扫描、镜像授权等功能，支持镜像上传、下载、删除等功能，方便用户进行镜像的全生命周期管理。提供私有镜像库，并支持细粒度的权限管理，可以为不同用户分配相应的访问权限。支持多种常见镜像类型,支持镜像的版本管理，并内置插件对镜像进行安全扫描。云容器镜像服务通过镜像下载加速技术，使集群下载镜像时在确保高并发下能获得更快的下载速度。</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1.2.12.</w:t>
      </w:r>
      <w:r>
        <w:rPr>
          <w:rFonts w:ascii="宋体" w:hAnsi="宋体"/>
          <w:b/>
          <w:bCs/>
          <w:sz w:val="21"/>
          <w:szCs w:val="21"/>
        </w:rPr>
        <w:t xml:space="preserve">3.</w:t>
      </w:r>
      <w:r>
        <w:rPr>
          <w:rFonts w:hint="eastAsia" w:ascii="宋体" w:hAnsi="宋体"/>
          <w:b/>
          <w:bCs/>
          <w:sz w:val="21"/>
          <w:szCs w:val="21"/>
        </w:rPr>
        <w:t xml:space="preserve">参数要求</w:t>
      </w:r>
      <w:r/>
    </w:p>
    <w:tbl>
      <w:tblPr>
        <w:tblStyle w:val="1024"/>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2455"/>
        <w:gridCol w:w="2799"/>
        <w:gridCol w:w="4636"/>
      </w:tblGrid>
      <w:tr>
        <w:trPr>
          <w:trHeight w:val="360"/>
        </w:trPr>
        <w:tc>
          <w:tcPr>
            <w:tcBorders>
              <w:top w:val="single" w:color="auto" w:sz="4" w:space="0"/>
              <w:left w:val="single" w:color="auto" w:sz="4" w:space="0"/>
              <w:bottom w:val="single" w:color="auto" w:sz="4" w:space="0"/>
              <w:right w:val="single" w:color="auto" w:sz="4" w:space="0"/>
            </w:tcBorders>
            <w:tcW w:w="1241" w:type="pct"/>
            <w:vAlign w:val="center"/>
            <w:textDirection w:val="lrTb"/>
            <w:noWrap/>
          </w:tcPr>
          <w:p>
            <w:pPr>
              <w:ind w:left="0"/>
              <w:jc w:val="center"/>
              <w:widowControl w:val="off"/>
              <w:rPr>
                <w:rFonts w:ascii="宋体" w:hAnsi="宋体" w:cs="仿宋"/>
                <w:b/>
                <w:bCs/>
                <w:sz w:val="21"/>
                <w:szCs w:val="21"/>
              </w:rPr>
            </w:pPr>
            <w:r>
              <w:rPr>
                <w:rFonts w:hint="eastAsia" w:ascii="宋体" w:hAnsi="宋体" w:cs="仿宋"/>
                <w:b/>
                <w:bCs/>
                <w:sz w:val="21"/>
                <w:szCs w:val="21"/>
              </w:rPr>
              <w:t xml:space="preserve">参数类别</w:t>
            </w:r>
            <w:r/>
          </w:p>
        </w:tc>
        <w:tc>
          <w:tcPr>
            <w:tcBorders>
              <w:top w:val="single" w:color="auto" w:sz="4" w:space="0"/>
              <w:left w:val="single" w:color="auto" w:sz="4" w:space="0"/>
              <w:bottom w:val="single" w:color="auto" w:sz="4" w:space="0"/>
              <w:right w:val="single" w:color="auto" w:sz="4" w:space="0"/>
            </w:tcBorders>
            <w:tcW w:w="1415" w:type="pct"/>
            <w:vAlign w:val="center"/>
            <w:textDirection w:val="lrTb"/>
            <w:noWrap/>
          </w:tcPr>
          <w:p>
            <w:pPr>
              <w:ind w:left="0"/>
              <w:jc w:val="center"/>
              <w:widowControl w:val="off"/>
              <w:rPr>
                <w:rFonts w:ascii="宋体" w:hAnsi="宋体" w:cs="仿宋"/>
                <w:b/>
                <w:bCs/>
                <w:sz w:val="21"/>
                <w:szCs w:val="21"/>
              </w:rPr>
            </w:pPr>
            <w:r>
              <w:rPr>
                <w:rFonts w:hint="eastAsia" w:ascii="宋体" w:hAnsi="宋体" w:cs="仿宋"/>
                <w:b/>
                <w:bCs/>
                <w:sz w:val="21"/>
                <w:szCs w:val="21"/>
              </w:rPr>
              <w:t xml:space="preserve">具体参数</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ind w:left="0"/>
              <w:jc w:val="center"/>
              <w:widowControl w:val="off"/>
              <w:rPr>
                <w:rFonts w:ascii="宋体" w:hAnsi="宋体" w:cs="仿宋"/>
                <w:b/>
                <w:bCs/>
                <w:sz w:val="21"/>
                <w:szCs w:val="21"/>
              </w:rPr>
            </w:pPr>
            <w:r>
              <w:rPr>
                <w:rFonts w:hint="eastAsia" w:ascii="宋体" w:hAnsi="宋体" w:cs="仿宋"/>
                <w:b/>
                <w:bCs/>
                <w:sz w:val="21"/>
                <w:szCs w:val="21"/>
              </w:rPr>
              <w:t xml:space="preserve">指标要求</w:t>
            </w:r>
            <w:r/>
          </w:p>
        </w:tc>
      </w:tr>
      <w:tr>
        <w:trPr>
          <w:trHeight w:val="360"/>
        </w:trPr>
        <w:tc>
          <w:tcPr>
            <w:tcBorders>
              <w:top w:val="single" w:color="auto" w:sz="4" w:space="0"/>
              <w:left w:val="single" w:color="auto" w:sz="4" w:space="0"/>
              <w:bottom w:val="single" w:color="auto" w:sz="4" w:space="0"/>
              <w:right w:val="single" w:color="auto" w:sz="4" w:space="0"/>
            </w:tcBorders>
            <w:tcW w:w="1241" w:type="pct"/>
            <w:vAlign w:val="center"/>
            <w:vMerge w:val="restart"/>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可用性</w:t>
            </w:r>
            <w:r/>
          </w:p>
        </w:tc>
        <w:tc>
          <w:tcPr>
            <w:tcBorders>
              <w:top w:val="single" w:color="auto" w:sz="4" w:space="0"/>
              <w:left w:val="single" w:color="auto" w:sz="4" w:space="0"/>
              <w:bottom w:val="single" w:color="auto" w:sz="4" w:space="0"/>
              <w:right w:val="single" w:color="auto" w:sz="4" w:space="0"/>
            </w:tcBorders>
            <w:tcW w:w="1415" w:type="pct"/>
            <w:vAlign w:val="center"/>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控制平面可用性</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高可用</w:t>
            </w:r>
            <w:r/>
          </w:p>
        </w:tc>
      </w:tr>
      <w:tr>
        <w:trPr>
          <w:trHeight w:val="360"/>
        </w:trPr>
        <w:tc>
          <w:tcPr>
            <w:tcBorders>
              <w:top w:val="single" w:color="auto" w:sz="4" w:space="0"/>
              <w:left w:val="single" w:color="auto" w:sz="4" w:space="0"/>
              <w:bottom w:val="single" w:color="auto" w:sz="4" w:space="0"/>
              <w:right w:val="single" w:color="auto" w:sz="4" w:space="0"/>
            </w:tcBorders>
            <w:tcW w:w="1241" w:type="pct"/>
            <w:vAlign w:val="center"/>
            <w:vMerge w:val="continue"/>
            <w:textDirection w:val="lrTb"/>
            <w:noWrap w:val="false"/>
          </w:tcPr>
          <w:p>
            <w:pPr>
              <w:ind w:left="0"/>
              <w:jc w:val="left"/>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1415" w:type="pct"/>
            <w:vAlign w:val="center"/>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数据平面可用性</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高可用</w:t>
            </w:r>
            <w:r/>
          </w:p>
        </w:tc>
      </w:tr>
      <w:tr>
        <w:trPr>
          <w:trHeight w:val="360"/>
        </w:trPr>
        <w:tc>
          <w:tcPr>
            <w:tcBorders>
              <w:top w:val="single" w:color="auto" w:sz="4" w:space="0"/>
              <w:left w:val="single" w:color="auto" w:sz="4" w:space="0"/>
              <w:bottom w:val="single" w:color="auto" w:sz="4" w:space="0"/>
              <w:right w:val="single" w:color="auto" w:sz="4" w:space="0"/>
            </w:tcBorders>
            <w:tcW w:w="1241" w:type="pct"/>
            <w:vAlign w:val="center"/>
            <w:vMerge w:val="continue"/>
            <w:textDirection w:val="lrTb"/>
            <w:noWrap w:val="false"/>
          </w:tcPr>
          <w:p>
            <w:pPr>
              <w:ind w:left="0"/>
              <w:jc w:val="left"/>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1415" w:type="pct"/>
            <w:vAlign w:val="center"/>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管理控制台可用性</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高可用</w:t>
            </w:r>
            <w:r/>
          </w:p>
        </w:tc>
      </w:tr>
      <w:tr>
        <w:trPr>
          <w:trHeight w:val="630"/>
        </w:trPr>
        <w:tc>
          <w:tcPr>
            <w:tcBorders>
              <w:top w:val="single" w:color="auto" w:sz="4" w:space="0"/>
              <w:left w:val="single" w:color="000000" w:sz="4" w:space="0"/>
              <w:bottom w:val="single" w:color="000000" w:sz="4" w:space="0"/>
              <w:right w:val="single" w:color="000000" w:sz="4" w:space="0"/>
            </w:tcBorders>
            <w:tcW w:w="1241" w:type="pct"/>
            <w:vAlign w:val="center"/>
            <w:vMerge w:val="restart"/>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兼容性</w:t>
            </w:r>
            <w:r/>
          </w:p>
        </w:tc>
        <w:tc>
          <w:tcPr>
            <w:tcBorders>
              <w:top w:val="single" w:color="auto" w:sz="4" w:space="0"/>
              <w:bottom w:val="single" w:color="000000" w:sz="4" w:space="0"/>
              <w:right w:val="single" w:color="000000" w:sz="4" w:space="0"/>
            </w:tcBorders>
            <w:tcW w:w="1415" w:type="pct"/>
            <w:vAlign w:val="center"/>
            <w:textDirection w:val="lrTb"/>
            <w:noWrap/>
          </w:tcPr>
          <w:p>
            <w:pPr>
              <w:ind w:left="0"/>
              <w:jc w:val="center"/>
              <w:widowControl w:val="off"/>
              <w:rPr>
                <w:rFonts w:ascii="宋体" w:hAnsi="宋体" w:cs="仿宋_GB2312"/>
                <w:sz w:val="21"/>
                <w:szCs w:val="21"/>
              </w:rPr>
            </w:pPr>
            <w:r>
              <w:rPr>
                <w:rFonts w:hint="eastAsia" w:ascii="MS Gothic" w:hAnsi="MS Gothic" w:eastAsia="MS Gothic" w:cs="MS Gothic"/>
                <w:sz w:val="21"/>
                <w:szCs w:val="21"/>
              </w:rPr>
              <w:t xml:space="preserve">​</w:t>
            </w:r>
            <w:r>
              <w:rPr>
                <w:rFonts w:hint="eastAsia" w:ascii="宋体" w:hAnsi="宋体"/>
                <w:sz w:val="21"/>
                <w:szCs w:val="21"/>
              </w:rPr>
              <w:t xml:space="preserve">容器运行时</w:t>
            </w:r>
            <w:r>
              <w:rPr>
                <w:rFonts w:hint="eastAsia" w:ascii="MS Gothic" w:hAnsi="MS Gothic" w:eastAsia="MS Gothic" w:cs="MS Gothic"/>
                <w:sz w:val="21"/>
                <w:szCs w:val="21"/>
              </w:rPr>
              <w:t xml:space="preserve">​</w:t>
            </w:r>
            <w:r/>
          </w:p>
        </w:tc>
        <w:tc>
          <w:tcPr>
            <w:tcBorders>
              <w:top w:val="single" w:color="auto" w:sz="4" w:space="0"/>
              <w:bottom w:val="single" w:color="000000" w:sz="4" w:space="0"/>
              <w:right w:val="single" w:color="000000" w:sz="4" w:space="0"/>
            </w:tcBorders>
            <w:tcW w:w="2343"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支持容器与Kubernetes多个主流常用版本。</w:t>
            </w:r>
            <w:r/>
          </w:p>
        </w:tc>
      </w:tr>
      <w:tr>
        <w:trPr>
          <w:trHeight w:val="360"/>
        </w:trPr>
        <w:tc>
          <w:tcPr>
            <w:tcBorders>
              <w:left w:val="single" w:color="000000" w:sz="4" w:space="0"/>
              <w:bottom w:val="single" w:color="000000" w:sz="4" w:space="0"/>
              <w:right w:val="single" w:color="000000" w:sz="4" w:space="0"/>
            </w:tcBorders>
            <w:tcW w:w="1241" w:type="pct"/>
            <w:vAlign w:val="center"/>
            <w:vMerge w:val="continue"/>
            <w:textDirection w:val="lrTb"/>
            <w:noWrap w:val="false"/>
          </w:tcPr>
          <w:p>
            <w:pPr>
              <w:ind w:left="0"/>
              <w:jc w:val="left"/>
              <w:widowControl w:val="off"/>
              <w:rPr>
                <w:rFonts w:ascii="宋体" w:hAnsi="宋体" w:cs="仿宋_GB2312"/>
                <w:sz w:val="21"/>
                <w:szCs w:val="21"/>
              </w:rPr>
            </w:pPr>
            <w:r>
              <w:rPr>
                <w:rFonts w:ascii="宋体" w:hAnsi="宋体" w:cs="仿宋_GB2312"/>
                <w:sz w:val="21"/>
                <w:szCs w:val="21"/>
              </w:rPr>
            </w:r>
            <w:r/>
          </w:p>
        </w:tc>
        <w:tc>
          <w:tcPr>
            <w:tcBorders>
              <w:bottom w:val="single" w:color="000000" w:sz="4" w:space="0"/>
              <w:right w:val="single" w:color="000000" w:sz="4" w:space="0"/>
            </w:tcBorders>
            <w:tcW w:w="1415" w:type="pct"/>
            <w:vAlign w:val="center"/>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CNI插件兼容</w:t>
            </w:r>
            <w:r/>
          </w:p>
        </w:tc>
        <w:tc>
          <w:tcPr>
            <w:tcBorders>
              <w:bottom w:val="single" w:color="000000" w:sz="4" w:space="0"/>
              <w:right w:val="single" w:color="000000" w:sz="4" w:space="0"/>
            </w:tcBorders>
            <w:tcW w:w="2343"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支持Calico、OVS标准接口。</w:t>
            </w:r>
            <w:r/>
          </w:p>
        </w:tc>
      </w:tr>
      <w:tr>
        <w:trPr>
          <w:trHeight w:val="360"/>
        </w:trPr>
        <w:tc>
          <w:tcPr>
            <w:tcBorders>
              <w:left w:val="single" w:color="000000" w:sz="4" w:space="0"/>
              <w:bottom w:val="single" w:color="auto" w:sz="4" w:space="0"/>
              <w:right w:val="single" w:color="000000" w:sz="4" w:space="0"/>
            </w:tcBorders>
            <w:tcW w:w="1241" w:type="pct"/>
            <w:vAlign w:val="center"/>
            <w:vMerge w:val="continue"/>
            <w:textDirection w:val="lrTb"/>
            <w:noWrap w:val="false"/>
          </w:tcPr>
          <w:p>
            <w:pPr>
              <w:ind w:left="0"/>
              <w:jc w:val="left"/>
              <w:widowControl w:val="off"/>
              <w:rPr>
                <w:rFonts w:ascii="宋体" w:hAnsi="宋体" w:cs="仿宋_GB2312"/>
                <w:sz w:val="21"/>
                <w:szCs w:val="21"/>
              </w:rPr>
            </w:pPr>
            <w:r>
              <w:rPr>
                <w:rFonts w:ascii="宋体" w:hAnsi="宋体" w:cs="仿宋_GB2312"/>
                <w:sz w:val="21"/>
                <w:szCs w:val="21"/>
              </w:rPr>
            </w:r>
            <w:r/>
          </w:p>
        </w:tc>
        <w:tc>
          <w:tcPr>
            <w:tcBorders>
              <w:bottom w:val="single" w:color="auto" w:sz="4" w:space="0"/>
              <w:right w:val="single" w:color="000000" w:sz="4" w:space="0"/>
            </w:tcBorders>
            <w:tcW w:w="1415" w:type="pct"/>
            <w:vAlign w:val="center"/>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CSI驱动兼容</w:t>
            </w:r>
            <w:r/>
          </w:p>
        </w:tc>
        <w:tc>
          <w:tcPr>
            <w:tcBorders>
              <w:bottom w:val="single" w:color="auto" w:sz="4" w:space="0"/>
              <w:right w:val="single" w:color="000000" w:sz="4" w:space="0"/>
            </w:tcBorders>
            <w:tcW w:w="2343"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支持≥5种主流存储。</w:t>
            </w:r>
            <w:r/>
          </w:p>
        </w:tc>
      </w:tr>
      <w:tr>
        <w:trPr>
          <w:trHeight w:val="360"/>
        </w:trPr>
        <w:tc>
          <w:tcPr>
            <w:tcBorders>
              <w:top w:val="single" w:color="auto" w:sz="4" w:space="0"/>
              <w:left w:val="single" w:color="auto" w:sz="4" w:space="0"/>
              <w:right w:val="single" w:color="auto" w:sz="4" w:space="0"/>
            </w:tcBorders>
            <w:tcW w:w="1241" w:type="pct"/>
            <w:vAlign w:val="center"/>
            <w:vMerge w:val="restart"/>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观测性</w:t>
            </w:r>
            <w:r/>
          </w:p>
        </w:tc>
        <w:tc>
          <w:tcPr>
            <w:tcBorders>
              <w:top w:val="single" w:color="auto" w:sz="4" w:space="0"/>
              <w:left w:val="single" w:color="auto" w:sz="4" w:space="0"/>
              <w:bottom w:val="single" w:color="auto" w:sz="4" w:space="0"/>
              <w:right w:val="single" w:color="auto" w:sz="4" w:space="0"/>
            </w:tcBorders>
            <w:tcW w:w="1415" w:type="pct"/>
            <w:vAlign w:val="center"/>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审计日志</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符合合规性要求，无遗漏审计。</w:t>
            </w:r>
            <w:r/>
          </w:p>
        </w:tc>
      </w:tr>
      <w:tr>
        <w:trPr>
          <w:trHeight w:val="360"/>
        </w:trPr>
        <w:tc>
          <w:tcPr>
            <w:tcBorders>
              <w:left w:val="single" w:color="auto" w:sz="4" w:space="0"/>
              <w:right w:val="single" w:color="auto" w:sz="4" w:space="0"/>
            </w:tcBorders>
            <w:tcW w:w="1241" w:type="pct"/>
            <w:vAlign w:val="center"/>
            <w:vMerge w:val="continue"/>
            <w:textDirection w:val="lrTb"/>
            <w:noWrap w:val="false"/>
          </w:tcPr>
          <w:p>
            <w:pPr>
              <w:ind w:left="0"/>
              <w:jc w:val="left"/>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1415" w:type="pct"/>
            <w:vAlign w:val="center"/>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监控指标</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全维度监控，数据保留时间可配置。</w:t>
            </w:r>
            <w:r/>
          </w:p>
        </w:tc>
      </w:tr>
      <w:tr>
        <w:trPr>
          <w:trHeight w:val="360"/>
        </w:trPr>
        <w:tc>
          <w:tcPr>
            <w:tcBorders>
              <w:left w:val="single" w:color="auto" w:sz="4" w:space="0"/>
              <w:bottom w:val="single" w:color="auto" w:sz="4" w:space="0"/>
              <w:right w:val="single" w:color="auto" w:sz="4" w:space="0"/>
            </w:tcBorders>
            <w:tcW w:w="1241" w:type="pct"/>
            <w:vAlign w:val="center"/>
            <w:vMerge w:val="continue"/>
            <w:textDirection w:val="lrTb"/>
            <w:noWrap w:val="false"/>
          </w:tcPr>
          <w:p>
            <w:pPr>
              <w:ind w:left="0"/>
              <w:jc w:val="left"/>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1415" w:type="pct"/>
            <w:vAlign w:val="center"/>
            <w:textDirection w:val="lrTb"/>
            <w:noWrap/>
          </w:tcPr>
          <w:p>
            <w:pPr>
              <w:ind w:left="0"/>
              <w:jc w:val="center"/>
              <w:widowControl w:val="off"/>
              <w:rPr>
                <w:rFonts w:ascii="宋体" w:hAnsi="宋体" w:cs="仿宋_GB2312"/>
                <w:sz w:val="21"/>
                <w:szCs w:val="21"/>
              </w:rPr>
            </w:pPr>
            <w:r>
              <w:rPr>
                <w:rFonts w:hint="eastAsia" w:ascii="宋体" w:hAnsi="宋体" w:cs="仿宋_GB2312"/>
                <w:sz w:val="21"/>
                <w:szCs w:val="21"/>
              </w:rPr>
              <w:t xml:space="preserve">日志收集</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高性能采集，可视化查询，数据保留时间可配置。</w:t>
            </w:r>
            <w:r/>
          </w:p>
        </w:tc>
      </w:tr>
    </w:tbl>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1.2.13.存储服务要求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1.2.13.</w:t>
      </w:r>
      <w:r>
        <w:rPr>
          <w:rFonts w:ascii="宋体" w:hAnsi="宋体"/>
          <w:b/>
          <w:bCs/>
          <w:sz w:val="21"/>
          <w:szCs w:val="21"/>
        </w:rPr>
        <w:t xml:space="preserve">1.</w:t>
      </w:r>
      <w:r>
        <w:rPr>
          <w:rFonts w:hint="eastAsia" w:ascii="宋体" w:hAnsi="宋体"/>
          <w:b/>
          <w:bCs/>
          <w:sz w:val="21"/>
          <w:szCs w:val="21"/>
        </w:rPr>
        <w:t xml:space="preserve">功能要求</w:t>
      </w:r>
      <w:r>
        <w:rPr>
          <w:rFonts w:ascii="宋体" w:hAnsi="宋体"/>
          <w:b/>
          <w:bCs/>
          <w:sz w:val="21"/>
          <w:szCs w:val="21"/>
        </w:rPr>
        <w:t xml:space="preserve"> </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苏州市国产化政务云资源池可提供块存储、文件存储、对象存储和备份存储服务，采用分布式存储或集中式存储。使用单位可按业务需求选择不同磁盘类型，实现数据按需存储，存储系统可扩展容量支持 PB 级扩展。</w:t>
      </w:r>
      <w:r>
        <w:rPr>
          <w:rFonts w:hint="eastAsia" w:ascii="宋体" w:hAnsi="宋体" w:cs="仿宋_GB2312"/>
          <w:bCs/>
          <w:sz w:val="21"/>
          <w:szCs w:val="21"/>
          <w:lang w:bidi="ar"/>
        </w:rPr>
        <w:t xml:space="preserve">同时云</w:t>
      </w:r>
      <w:r>
        <w:rPr>
          <w:rFonts w:hint="eastAsia" w:ascii="宋体" w:hAnsi="宋体" w:cs="仿宋_GB2312"/>
          <w:sz w:val="21"/>
          <w:szCs w:val="21"/>
        </w:rPr>
        <w:t xml:space="preserve">服务商所建设的资源池需要支持可使用采购单位所提供的统采设备配合其他所需资源进行构建。</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互联网业务区与政务外网业务区使用相对独立的存储系统构建存储资源池，保证数据隔离及安全。</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分布式存储采用三副本或纠删码容错技术保证数据安全；使用SSD硬件加速，满足分布式存储高 IOPS 的性能要求；根据性能容量需求对存储进行建设，支持动态扩展。</w:t>
      </w:r>
      <w:r/>
    </w:p>
    <w:p>
      <w:pPr>
        <w:ind w:left="0" w:firstLine="420"/>
        <w:spacing w:line="360" w:lineRule="auto"/>
        <w:widowControl w:val="off"/>
        <w:rPr>
          <w:rFonts w:ascii="宋体" w:hAnsi="宋体" w:cs="仿宋"/>
          <w:sz w:val="21"/>
          <w:szCs w:val="21"/>
        </w:rPr>
      </w:pPr>
      <w:r>
        <w:rPr>
          <w:rFonts w:hint="eastAsia" w:ascii="宋体" w:hAnsi="宋体" w:cs="Times New Roman"/>
          <w:sz w:val="21"/>
          <w:szCs w:val="21"/>
        </w:rPr>
        <w:t xml:space="preserve">专用存储及归档服务，提供分层次的多级存储平台，针对需要长期保存特定文件或数据的业务，提供结构化数据专用存储和数据的安全备份归档。归档过程包括将历史数据从在线存储迁移到近线或离线存储系统中，以实现长期可靠的存储。</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1.2.13.</w:t>
      </w:r>
      <w:r>
        <w:rPr>
          <w:rFonts w:ascii="宋体" w:hAnsi="宋体"/>
          <w:b/>
          <w:bCs/>
          <w:sz w:val="21"/>
          <w:szCs w:val="21"/>
        </w:rPr>
        <w:t xml:space="preserve">2.</w:t>
      </w:r>
      <w:r>
        <w:rPr>
          <w:rFonts w:hint="eastAsia" w:ascii="宋体" w:hAnsi="宋体"/>
          <w:b/>
          <w:bCs/>
          <w:sz w:val="21"/>
          <w:szCs w:val="21"/>
        </w:rPr>
        <w:t xml:space="preserve">技术要求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块存储，通过SCSI协议提供数据块级的存储卷。用于操作系统盘、数据盘等对I/O有要求的场景，如响应时间要求高的系统盘、数据存储和数据库应用等结构化数据存储。</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文件存储，通过TCP/IP协议进行通信，支持POSIX标准，以文件I/O方式进行存储和访问（如NFS），用于对读写速度要求不是很高的场景，如服务器日志集中管理，办公文件共享等存储。</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对象存储，将数据通路和管理通路分离，通过系统特定的接口提供对存储数据的访问，支持通过S3协议访问，用于大规模、多并发的场景，如图片和音视频等应用的海量存储。</w:t>
      </w:r>
      <w:r/>
    </w:p>
    <w:p>
      <w:pPr>
        <w:ind w:left="0" w:firstLine="420"/>
        <w:spacing w:line="360" w:lineRule="auto"/>
        <w:widowControl w:val="off"/>
        <w:rPr>
          <w:rFonts w:ascii="宋体" w:hAnsi="宋体" w:cs="仿宋"/>
          <w:sz w:val="21"/>
          <w:szCs w:val="21"/>
        </w:rPr>
      </w:pPr>
      <w:r>
        <w:rPr>
          <w:rFonts w:hint="eastAsia" w:ascii="宋体" w:hAnsi="宋体" w:cs="Times New Roman"/>
          <w:sz w:val="21"/>
          <w:szCs w:val="21"/>
        </w:rPr>
        <w:t xml:space="preserve">归档服务需提供海量分级存储透明访问能力，能将指定的磁盘、光盘、磁带等多级设备融合为一体，形成容量庞大的"在线"存储池,提供统一存储路径。并且服务后台可根据预定存储策略，精准扫描、自动完成数据在线（热数据）、近线（温数据）、离线（冷数据）智能分级、分层归档，包括：迁移、复制、同步、回迁等动作。</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1.2.13.</w:t>
      </w:r>
      <w:r>
        <w:rPr>
          <w:rFonts w:ascii="宋体" w:hAnsi="宋体"/>
          <w:b/>
          <w:bCs/>
          <w:sz w:val="21"/>
          <w:szCs w:val="21"/>
        </w:rPr>
        <w:t xml:space="preserve">3.</w:t>
      </w:r>
      <w:r>
        <w:rPr>
          <w:rFonts w:hint="eastAsia" w:ascii="宋体" w:hAnsi="宋体"/>
          <w:b/>
          <w:bCs/>
          <w:sz w:val="21"/>
          <w:szCs w:val="21"/>
        </w:rPr>
        <w:t xml:space="preserve">参数要求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随着政务业务逐步增长，虚拟化、数据库等应用的结构化数据快速增长，需要通过块存储服务满足日益增长的数据存储需求。按照存储技术架构、性能指标的差异，存储设备可分为：全闪块存储、全NVMe超高IO存储、混闪块存储，分别面向政务业务的结构化数据提供高IOPS、超高IO</w:t>
      </w:r>
      <w:r>
        <w:rPr>
          <w:rFonts w:hint="eastAsia" w:ascii="宋体" w:hAnsi="宋体" w:cs="仿宋_GB2312"/>
          <w:sz w:val="21"/>
          <w:szCs w:val="21"/>
        </w:rPr>
        <w:t xml:space="preserve">PS以及中低IOPS的块存储服务。为了提供差异化的块存储服务，分别选用全SSD硬盘、全NVMe硬盘以及SSD+HDD 混合闪存硬盘三种介质，通过配套中、高、低三档存储基础平台以发挥三种存储介质的读写性能。在中低IOPS以及高IOPS场景下，通过使用分布式存储技术架构，提供高系统拓展性、可靠性和负载均衡能力。在超高IOPS业务场景（如面向社会的民生服务业务）同步要求极高可靠性，通过全互联存储技术架构满足在多控制器故障的极端情况下仍能保障存储服务可用。通过以上三种类型存储提供性能差异化的、稳定可靠的块存储服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随着多种端侧传感、接入设备数量快速增多，政务业务非结构化数据量日益增长，主要涵盖多种数据格式：文本文件（公文、报告），图像（证件照片、扫描件），音视频（会议录像、监控视频）等。通过文件存储设备以目录树形式提供文件存储服务，主要适用于高频访问的协作文档、结构化归档以及小规模并发等场景；通过对象存储设备以元数据管理方式提供对象存储服务，主要适用于海量数据归档与备份、媒体内容存储与分发</w:t>
      </w:r>
      <w:r>
        <w:rPr>
          <w:rFonts w:hint="eastAsia" w:ascii="宋体" w:hAnsi="宋体" w:cs="仿宋_GB2312"/>
          <w:sz w:val="21"/>
          <w:szCs w:val="21"/>
        </w:rPr>
        <w:t xml:space="preserve">。非结构化数据存储数据量较大，对读写IOPS要求不高，可选用SSD+HDD硬盘作为存储介质，并配套存储基础平台提供场景差异化的非结构化文件存储服务和对象存储服务，其中文件存储服务提供常见的文件访问协议：NFS/CIFS/POSIX/MPI-IO，支持多租户、配额管理和回收站管理三种常见文件存储服务管理和运营能力；对象存储服务提供通过http或https访问协议以及主流编程语言SDK，支持多租户存储服务运营管理能力。使用分布式存储技术架构，提供高系统拓展性、可靠性和负载均衡能力。相关硬件设备参考以下参数要求。</w:t>
      </w:r>
      <w:r/>
    </w:p>
    <w:p>
      <w:pPr>
        <w:ind w:left="0" w:firstLine="420"/>
        <w:spacing w:line="360" w:lineRule="auto"/>
        <w:widowControl w:val="off"/>
        <w:rPr>
          <w:rFonts w:ascii="宋体" w:hAnsi="宋体" w:cs="仿宋_GB2312"/>
          <w:sz w:val="21"/>
          <w:szCs w:val="21"/>
        </w:rPr>
      </w:pPr>
      <w:r>
        <w:rPr>
          <w:rFonts w:ascii="宋体" w:hAnsi="宋体" w:cs="仿宋_GB2312"/>
          <w:sz w:val="21"/>
          <w:szCs w:val="21"/>
        </w:rPr>
      </w:r>
      <w:r/>
    </w:p>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（1）全闪块存储</w:t>
      </w:r>
      <w:r/>
    </w:p>
    <w:tbl>
      <w:tblPr>
        <w:tblStyle w:val="1024"/>
        <w:tblW w:w="0" w:type="auto"/>
        <w:jc w:val="center"/>
        <w:tblLayout w:type="fixed"/>
        <w:tblCellMar>
          <w:left w:w="108" w:type="dxa"/>
          <w:top w:w="0" w:type="dxa"/>
          <w:right w:w="108" w:type="dxa"/>
          <w:bottom w:w="0" w:type="dxa"/>
        </w:tblCellMar>
        <w:tblLook w:val="04A0" w:firstRow="1" w:lastRow="0" w:firstColumn="1" w:lastColumn="0" w:noHBand="0" w:noVBand="1"/>
      </w:tblPr>
      <w:tblGrid>
        <w:gridCol w:w="1688"/>
        <w:gridCol w:w="6563"/>
      </w:tblGrid>
      <w:tr>
        <w:trPr>
          <w:jc w:val="center"/>
          <w:trHeight w:val="360"/>
        </w:trPr>
        <w:tc>
          <w:tcPr>
            <w:tcBorders>
              <w:top w:val="single" w:color="auto" w:sz="4" w:space="0"/>
              <w:left w:val="single" w:color="auto" w:sz="4" w:space="0"/>
              <w:bottom w:val="single" w:color="auto" w:sz="4" w:space="0"/>
              <w:right w:val="single" w:color="auto" w:sz="4" w:space="0"/>
            </w:tcBorders>
            <w:tcW w:w="1688" w:type="dxa"/>
            <w:vAlign w:val="bottom"/>
            <w:textDirection w:val="lrTb"/>
            <w:noWrap w:val="false"/>
          </w:tcPr>
          <w:p>
            <w:pPr>
              <w:ind w:left="0"/>
              <w:jc w:val="center"/>
              <w:widowControl w:val="off"/>
              <w:rPr>
                <w:rFonts w:ascii="宋体" w:hAnsi="宋体" w:cs="仿宋_GB2312"/>
                <w:b/>
                <w:sz w:val="21"/>
                <w:szCs w:val="21"/>
              </w:rPr>
            </w:pPr>
            <w:r>
              <w:rPr>
                <w:rFonts w:hint="eastAsia" w:ascii="宋体" w:hAnsi="宋体" w:cs="仿宋_GB2312"/>
                <w:b/>
                <w:sz w:val="21"/>
                <w:szCs w:val="21"/>
              </w:rPr>
              <w:t xml:space="preserve">指标项目</w:t>
            </w:r>
            <w:r/>
          </w:p>
        </w:tc>
        <w:tc>
          <w:tcPr>
            <w:tcBorders>
              <w:top w:val="single" w:color="auto" w:sz="4" w:space="0"/>
              <w:left w:val="none" w:color="000000" w:sz="4" w:space="0"/>
              <w:bottom w:val="single" w:color="auto" w:sz="4" w:space="0"/>
              <w:right w:val="single" w:color="auto" w:sz="4" w:space="0"/>
            </w:tcBorders>
            <w:tcW w:w="6563" w:type="dxa"/>
            <w:vAlign w:val="bottom"/>
            <w:textDirection w:val="lrTb"/>
            <w:noWrap w:val="false"/>
          </w:tcPr>
          <w:p>
            <w:pPr>
              <w:ind w:left="400"/>
              <w:jc w:val="center"/>
              <w:widowControl w:val="off"/>
              <w:rPr>
                <w:rFonts w:ascii="宋体" w:hAnsi="宋体" w:cs="仿宋_GB2312"/>
                <w:b/>
                <w:sz w:val="21"/>
                <w:szCs w:val="21"/>
              </w:rPr>
            </w:pPr>
            <w:r>
              <w:rPr>
                <w:rFonts w:hint="eastAsia" w:ascii="宋体" w:hAnsi="宋体" w:cs="仿宋_GB2312"/>
                <w:b/>
                <w:sz w:val="21"/>
                <w:szCs w:val="21"/>
              </w:rPr>
              <w:t xml:space="preserve">技术要求</w:t>
            </w:r>
            <w:r/>
          </w:p>
        </w:tc>
      </w:tr>
      <w:tr>
        <w:trPr>
          <w:jc w:val="center"/>
          <w:trHeight w:val="108"/>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分布式架构</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基于海量数据的可靠性和高扩展性，本次采用全对称分布式架构，无独立元数据服务器或元数据节点；</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sz w:val="21"/>
                <w:szCs w:val="21"/>
              </w:rPr>
              <w:t xml:space="preserve">★</w:t>
            </w:r>
            <w:r>
              <w:rPr>
                <w:rFonts w:hint="eastAsia" w:ascii="宋体" w:hAnsi="宋体" w:cs="仿宋_GB2312"/>
                <w:sz w:val="21"/>
                <w:szCs w:val="21"/>
              </w:rPr>
              <w:t xml:space="preserve">高可用</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单节点故障时，IO归零时长小于10S；当节点故障时，支持自动调整EC配比；</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sz w:val="21"/>
                <w:szCs w:val="21"/>
              </w:rPr>
              <w:t xml:space="preserve">★</w:t>
            </w:r>
            <w:r>
              <w:rPr>
                <w:rFonts w:hint="eastAsia" w:ascii="宋体" w:hAnsi="宋体" w:cs="仿宋_GB2312"/>
                <w:sz w:val="21"/>
                <w:szCs w:val="21"/>
              </w:rPr>
              <w:t xml:space="preserve">数据保护方式</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支持纠删码（N+M）或多副本的容错方式；支持2副本/3副本、EC的数据保护模式，且支持+2/+3/+4灵活EC配比；支持22+2的大比例EC配比。</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系统扩展性</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具备大规模横向扩展能力，单集群规模最大可扩展不少于100个节点，支持在线添加节点，扩容过程中对业务无影响，添加节点后，集群容量和性能近线性增长；</w:t>
            </w:r>
            <w:r/>
          </w:p>
        </w:tc>
      </w:tr>
      <w:tr>
        <w:trPr>
          <w:jc w:val="center"/>
          <w:trHeight w:val="1105"/>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sz w:val="21"/>
                <w:szCs w:val="21"/>
              </w:rPr>
              <w:t xml:space="preserve">★</w:t>
            </w:r>
            <w:r>
              <w:rPr>
                <w:rFonts w:hint="eastAsia" w:ascii="宋体" w:hAnsi="宋体" w:cs="仿宋_GB2312"/>
                <w:sz w:val="21"/>
                <w:szCs w:val="21"/>
              </w:rPr>
              <w:t xml:space="preserve">负载均衡</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支持业务在节点、硬盘、网口间的负载均衡；支持业务在节点、硬盘、网口间的负载均衡；存储集群池内节点网口间负载均衡，相差＜10%；节点内磁盘间容量误差率不超2％，节点间容量误差不超0.2%。</w:t>
            </w:r>
            <w:r/>
          </w:p>
        </w:tc>
      </w:tr>
      <w:tr>
        <w:trPr>
          <w:jc w:val="center"/>
          <w:trHeight w:val="316"/>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数据重构</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当磁盘或存储节点故障时，系统能自动进行数据重建。</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▲配置参数</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每节点配置如下：</w:t>
            </w:r>
            <w:r/>
          </w:p>
          <w:p>
            <w:pPr>
              <w:ind w:left="0"/>
              <w:jc w:val="left"/>
              <w:widowControl w:val="off"/>
              <w:rPr>
                <w:rFonts w:ascii="宋体" w:hAnsi="宋体" w:cs="仿宋_GB2312"/>
                <w:sz w:val="21"/>
                <w:szCs w:val="21"/>
              </w:rPr>
            </w:pPr>
            <w:r>
              <w:rPr>
                <w:rFonts w:hint="eastAsia" w:ascii="宋体" w:hAnsi="宋体" w:cs="仿宋_GB2312"/>
                <w:sz w:val="21"/>
                <w:szCs w:val="21"/>
              </w:rPr>
              <w:t xml:space="preserve">1）CPU:配置2颗国产CPU，单颗主频≥2.6GHz，内核数≥48核；</w:t>
            </w:r>
            <w:r>
              <w:rPr>
                <w:rFonts w:hint="eastAsia" w:ascii="宋体" w:hAnsi="宋体" w:cs="仿宋_GB2312"/>
                <w:sz w:val="21"/>
                <w:szCs w:val="21"/>
              </w:rPr>
              <w:br/>
            </w:r>
            <w:r>
              <w:rPr>
                <w:rFonts w:hint="eastAsia" w:ascii="宋体" w:hAnsi="宋体" w:cs="仿宋_GB2312"/>
                <w:sz w:val="21"/>
                <w:szCs w:val="21"/>
              </w:rPr>
              <w:t xml:space="preserve">2）内存：配置≥256GB内存，支持并配置掉电保护，保障节点故障情况下缓存中的数据不丢失；</w:t>
            </w:r>
            <w:r>
              <w:rPr>
                <w:rFonts w:hint="eastAsia" w:ascii="宋体" w:hAnsi="宋体" w:cs="仿宋_GB2312"/>
                <w:sz w:val="21"/>
                <w:szCs w:val="21"/>
              </w:rPr>
              <w:br/>
            </w:r>
            <w:r>
              <w:rPr>
                <w:rFonts w:hint="eastAsia" w:ascii="宋体" w:hAnsi="宋体" w:cs="仿宋_GB2312"/>
                <w:sz w:val="21"/>
                <w:szCs w:val="21"/>
              </w:rPr>
              <w:t xml:space="preserve">3）系统盘：配置≥2块480GB SSD盘；</w:t>
            </w:r>
            <w:r>
              <w:rPr>
                <w:rFonts w:hint="eastAsia" w:ascii="宋体" w:hAnsi="宋体" w:cs="仿宋_GB2312"/>
                <w:sz w:val="21"/>
                <w:szCs w:val="21"/>
              </w:rPr>
              <w:br/>
            </w:r>
            <w:r>
              <w:rPr>
                <w:rFonts w:hint="eastAsia" w:ascii="宋体" w:hAnsi="宋体" w:cs="仿宋_GB2312"/>
                <w:sz w:val="21"/>
                <w:szCs w:val="21"/>
              </w:rPr>
              <w:t xml:space="preserve">4）主存盘：配置≥12块7.68TB SSD盘作为主存盘；</w:t>
            </w:r>
            <w:r>
              <w:rPr>
                <w:rFonts w:hint="eastAsia" w:ascii="宋体" w:hAnsi="宋体" w:cs="仿宋_GB2312"/>
                <w:sz w:val="21"/>
                <w:szCs w:val="21"/>
              </w:rPr>
              <w:br/>
            </w:r>
            <w:r>
              <w:rPr>
                <w:rFonts w:hint="eastAsia" w:ascii="宋体" w:hAnsi="宋体" w:cs="仿宋_GB2312"/>
                <w:sz w:val="21"/>
                <w:szCs w:val="21"/>
              </w:rPr>
              <w:t xml:space="preserve">5）网口：配置≥4个10G网口，且配置万兆光模块；</w:t>
            </w:r>
            <w:r/>
          </w:p>
        </w:tc>
      </w:tr>
    </w:tbl>
    <w:p>
      <w:pPr>
        <w:pStyle w:val="1025"/>
        <w:rPr>
          <w:rFonts w:ascii="宋体" w:hAnsi="宋体"/>
          <w:sz w:val="21"/>
          <w:szCs w:val="21"/>
        </w:rPr>
      </w:pPr>
      <w:r>
        <w:rPr>
          <w:rFonts w:ascii="宋体" w:hAnsi="宋体"/>
          <w:sz w:val="21"/>
          <w:szCs w:val="21"/>
        </w:rPr>
      </w:r>
      <w:r/>
    </w:p>
    <w:p>
      <w:pPr>
        <w:numPr>
          <w:ilvl w:val="0"/>
          <w:numId w:val="5"/>
        </w:numPr>
        <w:ind w:left="0"/>
        <w:spacing w:line="360" w:lineRule="auto"/>
        <w:widowControl w:val="off"/>
        <w:rPr>
          <w:rFonts w:ascii="宋体" w:hAnsi="宋体" w:cs="仿宋"/>
          <w:bCs/>
          <w:sz w:val="21"/>
          <w:szCs w:val="21"/>
          <w:lang w:bidi="ar"/>
        </w:rPr>
      </w:pPr>
      <w:r>
        <w:rPr>
          <w:rFonts w:hint="eastAsia" w:ascii="宋体" w:hAnsi="宋体" w:cs="Times New Roman"/>
          <w:sz w:val="21"/>
          <w:szCs w:val="21"/>
          <w:lang w:bidi="ar"/>
        </w:rPr>
        <w:t xml:space="preserve">全NVMe超高IO存储</w:t>
      </w:r>
      <w:r/>
    </w:p>
    <w:tbl>
      <w:tblPr>
        <w:tblStyle w:val="1024"/>
        <w:tblW w:w="0" w:type="auto"/>
        <w:jc w:val="center"/>
        <w:tblLayout w:type="fixed"/>
        <w:tblCellMar>
          <w:left w:w="108" w:type="dxa"/>
          <w:top w:w="0" w:type="dxa"/>
          <w:right w:w="108" w:type="dxa"/>
          <w:bottom w:w="0" w:type="dxa"/>
        </w:tblCellMar>
        <w:tblLook w:val="04A0" w:firstRow="1" w:lastRow="0" w:firstColumn="1" w:lastColumn="0" w:noHBand="0" w:noVBand="1"/>
      </w:tblPr>
      <w:tblGrid>
        <w:gridCol w:w="1688"/>
        <w:gridCol w:w="6563"/>
      </w:tblGrid>
      <w:tr>
        <w:trPr>
          <w:jc w:val="center"/>
          <w:trHeight w:val="360"/>
        </w:trPr>
        <w:tc>
          <w:tcPr>
            <w:tcBorders>
              <w:top w:val="single" w:color="auto" w:sz="4" w:space="0"/>
              <w:left w:val="single" w:color="auto" w:sz="4" w:space="0"/>
              <w:bottom w:val="single" w:color="auto" w:sz="4" w:space="0"/>
              <w:right w:val="single" w:color="auto" w:sz="4" w:space="0"/>
            </w:tcBorders>
            <w:tcW w:w="1688" w:type="dxa"/>
            <w:vAlign w:val="bottom"/>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指标项目</w:t>
            </w:r>
            <w:r/>
          </w:p>
        </w:tc>
        <w:tc>
          <w:tcPr>
            <w:tcBorders>
              <w:top w:val="single" w:color="auto" w:sz="4" w:space="0"/>
              <w:left w:val="none" w:color="000000" w:sz="4" w:space="0"/>
              <w:bottom w:val="single" w:color="auto" w:sz="4" w:space="0"/>
              <w:right w:val="single" w:color="auto" w:sz="4" w:space="0"/>
            </w:tcBorders>
            <w:tcW w:w="6563" w:type="dxa"/>
            <w:vAlign w:val="bottom"/>
            <w:textDirection w:val="lrTb"/>
            <w:noWrap w:val="false"/>
          </w:tcPr>
          <w:p>
            <w:pPr>
              <w:ind w:left="0"/>
              <w:jc w:val="center"/>
              <w:widowControl w:val="off"/>
              <w:rPr>
                <w:rFonts w:ascii="宋体" w:hAnsi="宋体" w:cs="Times New Roman"/>
                <w:b/>
                <w:bCs/>
                <w:sz w:val="21"/>
                <w:szCs w:val="21"/>
              </w:rPr>
            </w:pPr>
            <w:r>
              <w:rPr>
                <w:rFonts w:hint="eastAsia" w:ascii="宋体" w:hAnsi="宋体" w:cs="Times New Roman"/>
                <w:b/>
                <w:bCs/>
                <w:sz w:val="21"/>
                <w:szCs w:val="21"/>
              </w:rPr>
              <w:t xml:space="preserve">技术要求</w:t>
            </w:r>
            <w:r/>
          </w:p>
        </w:tc>
      </w:tr>
      <w:tr>
        <w:trPr>
          <w:jc w:val="center"/>
          <w:trHeight w:val="108"/>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架构</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单框至少包含两个控制器，每两控不低于1TB缓存，每控制器CPU核心数不低于1</w:t>
            </w:r>
            <w:r>
              <w:rPr>
                <w:rFonts w:ascii="宋体" w:hAnsi="宋体" w:cs="Times New Roman"/>
                <w:sz w:val="21"/>
                <w:szCs w:val="21"/>
              </w:rPr>
              <w:t xml:space="preserve">28</w:t>
            </w:r>
            <w:r>
              <w:rPr>
                <w:rFonts w:hint="eastAsia" w:ascii="宋体" w:hAnsi="宋体" w:cs="Times New Roman"/>
                <w:sz w:val="21"/>
                <w:szCs w:val="21"/>
              </w:rPr>
              <w:t xml:space="preserve">核</w:t>
            </w:r>
            <w:r/>
          </w:p>
        </w:tc>
      </w:tr>
      <w:tr>
        <w:trPr>
          <w:jc w:val="center"/>
          <w:trHeight w:val="108"/>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协议</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支持SAN、NAS两种协议中的任意一种</w:t>
            </w:r>
            <w:r/>
          </w:p>
        </w:tc>
      </w:tr>
      <w:tr>
        <w:trPr>
          <w:jc w:val="center"/>
          <w:trHeight w:val="108"/>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Times New Roman"/>
                <w:sz w:val="21"/>
                <w:szCs w:val="21"/>
              </w:rPr>
            </w:pPr>
            <w:r>
              <w:rPr>
                <w:rFonts w:hint="eastAsia" w:ascii="宋体" w:hAnsi="宋体"/>
                <w:sz w:val="21"/>
                <w:szCs w:val="21"/>
              </w:rPr>
              <w:t xml:space="preserve">★</w:t>
            </w:r>
            <w:r>
              <w:rPr>
                <w:rFonts w:hint="eastAsia" w:ascii="宋体" w:hAnsi="宋体" w:cs="Times New Roman"/>
                <w:sz w:val="21"/>
                <w:szCs w:val="21"/>
              </w:rPr>
              <w:t xml:space="preserve">可靠性</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单个控制器故障场景下，可完成从故障控制器切换到正常控制器，主机业务不中断；8个控制器配置时，允许8个控制器失效7个，业务不中断；允许2个引擎中任意1个失效，业务不中断；允许1个引擎内任意2个控制器同时失效，业务不中断</w:t>
            </w:r>
            <w:r>
              <w:rPr>
                <w:rFonts w:hint="eastAsia" w:ascii="宋体" w:hAnsi="宋体" w:cs="仿宋_GB2312"/>
                <w:sz w:val="21"/>
                <w:szCs w:val="21"/>
              </w:rPr>
              <w:t xml:space="preserve">。</w:t>
            </w:r>
            <w:r/>
          </w:p>
        </w:tc>
      </w:tr>
      <w:tr>
        <w:trPr>
          <w:jc w:val="center"/>
          <w:trHeight w:val="108"/>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扩展性</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支持扩容至少</w:t>
            </w:r>
            <w:r>
              <w:rPr>
                <w:rFonts w:ascii="宋体" w:hAnsi="宋体" w:cs="Times New Roman"/>
                <w:sz w:val="21"/>
                <w:szCs w:val="21"/>
              </w:rPr>
              <w:t xml:space="preserve">32</w:t>
            </w:r>
            <w:r>
              <w:rPr>
                <w:rFonts w:hint="eastAsia" w:ascii="宋体" w:hAnsi="宋体" w:cs="Times New Roman"/>
                <w:sz w:val="21"/>
                <w:szCs w:val="21"/>
              </w:rPr>
              <w:t xml:space="preserve">个控制器，支持最多1</w:t>
            </w:r>
            <w:r>
              <w:rPr>
                <w:rFonts w:ascii="宋体" w:hAnsi="宋体" w:cs="Times New Roman"/>
                <w:sz w:val="21"/>
                <w:szCs w:val="21"/>
              </w:rPr>
              <w:t xml:space="preserve">000</w:t>
            </w:r>
            <w:r>
              <w:rPr>
                <w:rFonts w:hint="eastAsia" w:ascii="宋体" w:hAnsi="宋体" w:cs="Times New Roman"/>
                <w:sz w:val="21"/>
                <w:szCs w:val="21"/>
              </w:rPr>
              <w:t xml:space="preserve">块nvme硬盘</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网络</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支持10Gb、25Gb、100Gb等多种网络接口能力灵活选配</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硬盘</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支持7</w:t>
            </w:r>
            <w:r>
              <w:rPr>
                <w:rFonts w:ascii="宋体" w:hAnsi="宋体" w:cs="Times New Roman"/>
                <w:sz w:val="21"/>
                <w:szCs w:val="21"/>
              </w:rPr>
              <w:t xml:space="preserve">.68</w:t>
            </w:r>
            <w:r>
              <w:rPr>
                <w:rFonts w:hint="eastAsia" w:ascii="宋体" w:hAnsi="宋体" w:cs="Times New Roman"/>
                <w:sz w:val="21"/>
                <w:szCs w:val="21"/>
              </w:rPr>
              <w:t xml:space="preserve">T</w:t>
            </w:r>
            <w:r>
              <w:rPr>
                <w:rFonts w:ascii="宋体" w:hAnsi="宋体" w:cs="Times New Roman"/>
                <w:sz w:val="21"/>
                <w:szCs w:val="21"/>
              </w:rPr>
              <w:t xml:space="preserve"> </w:t>
            </w:r>
            <w:r>
              <w:rPr>
                <w:rFonts w:hint="eastAsia" w:ascii="宋体" w:hAnsi="宋体" w:cs="Times New Roman"/>
                <w:sz w:val="21"/>
                <w:szCs w:val="21"/>
              </w:rPr>
              <w:t xml:space="preserve">nvme、1</w:t>
            </w:r>
            <w:r>
              <w:rPr>
                <w:rFonts w:ascii="宋体" w:hAnsi="宋体" w:cs="Times New Roman"/>
                <w:sz w:val="21"/>
                <w:szCs w:val="21"/>
              </w:rPr>
              <w:t xml:space="preserve">5.36</w:t>
            </w:r>
            <w:r>
              <w:rPr>
                <w:rFonts w:hint="eastAsia" w:ascii="宋体" w:hAnsi="宋体" w:cs="Times New Roman"/>
                <w:sz w:val="21"/>
                <w:szCs w:val="21"/>
              </w:rPr>
              <w:t xml:space="preserve">T</w:t>
            </w:r>
            <w:r>
              <w:rPr>
                <w:rFonts w:ascii="宋体" w:hAnsi="宋体" w:cs="Times New Roman"/>
                <w:sz w:val="21"/>
                <w:szCs w:val="21"/>
              </w:rPr>
              <w:t xml:space="preserve"> </w:t>
            </w:r>
            <w:r>
              <w:rPr>
                <w:rFonts w:hint="eastAsia" w:ascii="宋体" w:hAnsi="宋体" w:cs="Times New Roman"/>
                <w:sz w:val="21"/>
                <w:szCs w:val="21"/>
              </w:rPr>
              <w:t xml:space="preserve">Nvme等主流Nvme硬盘规格灵活选配</w:t>
            </w:r>
            <w:r/>
          </w:p>
        </w:tc>
      </w:tr>
    </w:tbl>
    <w:p>
      <w:pPr>
        <w:numPr>
          <w:ilvl w:val="255"/>
          <w:numId w:val="0"/>
        </w:numPr>
        <w:spacing w:line="360" w:lineRule="auto"/>
        <w:widowControl w:val="off"/>
        <w:rPr>
          <w:rFonts w:ascii="宋体" w:hAnsi="宋体" w:cs="仿宋"/>
          <w:bCs/>
          <w:sz w:val="21"/>
          <w:szCs w:val="21"/>
          <w:lang w:bidi="ar"/>
        </w:rPr>
      </w:pPr>
      <w:r>
        <w:rPr>
          <w:rFonts w:ascii="宋体" w:hAnsi="宋体" w:cs="仿宋"/>
          <w:bCs/>
          <w:sz w:val="21"/>
          <w:szCs w:val="21"/>
          <w:lang w:bidi="ar"/>
        </w:rPr>
      </w:r>
      <w:r/>
    </w:p>
    <w:p>
      <w:pPr>
        <w:numPr>
          <w:ilvl w:val="0"/>
          <w:numId w:val="5"/>
        </w:num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混闪块存储</w:t>
      </w:r>
      <w:r/>
    </w:p>
    <w:tbl>
      <w:tblPr>
        <w:tblStyle w:val="1024"/>
        <w:tblW w:w="0" w:type="auto"/>
        <w:jc w:val="center"/>
        <w:tblLayout w:type="fixed"/>
        <w:tblCellMar>
          <w:left w:w="108" w:type="dxa"/>
          <w:top w:w="0" w:type="dxa"/>
          <w:right w:w="108" w:type="dxa"/>
          <w:bottom w:w="0" w:type="dxa"/>
        </w:tblCellMar>
        <w:tblLook w:val="04A0" w:firstRow="1" w:lastRow="0" w:firstColumn="1" w:lastColumn="0" w:noHBand="0" w:noVBand="1"/>
      </w:tblPr>
      <w:tblGrid>
        <w:gridCol w:w="1688"/>
        <w:gridCol w:w="6563"/>
      </w:tblGrid>
      <w:tr>
        <w:trPr>
          <w:jc w:val="center"/>
          <w:trHeight w:val="360"/>
        </w:trPr>
        <w:tc>
          <w:tcPr>
            <w:tcBorders>
              <w:top w:val="single" w:color="auto" w:sz="4" w:space="0"/>
              <w:left w:val="single" w:color="auto" w:sz="4" w:space="0"/>
              <w:bottom w:val="single" w:color="auto" w:sz="4" w:space="0"/>
              <w:right w:val="single" w:color="auto" w:sz="4" w:space="0"/>
            </w:tcBorders>
            <w:tcW w:w="1688" w:type="dxa"/>
            <w:vAlign w:val="bottom"/>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指标项目</w:t>
            </w:r>
            <w:r/>
          </w:p>
        </w:tc>
        <w:tc>
          <w:tcPr>
            <w:tcBorders>
              <w:top w:val="single" w:color="auto" w:sz="4" w:space="0"/>
              <w:left w:val="none" w:color="000000" w:sz="4" w:space="0"/>
              <w:bottom w:val="single" w:color="auto" w:sz="4" w:space="0"/>
              <w:right w:val="single" w:color="auto" w:sz="4" w:space="0"/>
            </w:tcBorders>
            <w:tcW w:w="6563" w:type="dxa"/>
            <w:vAlign w:val="bottom"/>
            <w:textDirection w:val="lrTb"/>
            <w:noWrap w:val="false"/>
          </w:tcPr>
          <w:p>
            <w:pPr>
              <w:ind w:left="400"/>
              <w:jc w:val="center"/>
              <w:widowControl w:val="off"/>
              <w:rPr>
                <w:rFonts w:ascii="宋体" w:hAnsi="宋体" w:cs="Times New Roman"/>
                <w:b/>
                <w:sz w:val="21"/>
                <w:szCs w:val="21"/>
              </w:rPr>
            </w:pPr>
            <w:r>
              <w:rPr>
                <w:rFonts w:hint="eastAsia" w:ascii="宋体" w:hAnsi="宋体" w:cs="Times New Roman"/>
                <w:b/>
                <w:sz w:val="21"/>
                <w:szCs w:val="21"/>
              </w:rPr>
              <w:t xml:space="preserve">技术要求</w:t>
            </w:r>
            <w:r/>
          </w:p>
        </w:tc>
      </w:tr>
      <w:tr>
        <w:trPr>
          <w:jc w:val="center"/>
          <w:trHeight w:val="6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分布式架构</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基于海量数据的可靠性和高扩展性，本次采用全对称分布式架构，无独立元数据服务器或元数据节点；</w:t>
            </w:r>
            <w:r/>
          </w:p>
        </w:tc>
      </w:tr>
      <w:tr>
        <w:trPr>
          <w:jc w:val="center"/>
          <w:trHeight w:val="27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高可用</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采用全冗余组网，无单点故障；</w:t>
            </w:r>
            <w:r/>
          </w:p>
        </w:tc>
      </w:tr>
      <w:tr>
        <w:trPr>
          <w:jc w:val="center"/>
          <w:trHeight w:val="27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数据保护方式</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采用纠删码（N+M）的容错方式；</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sz w:val="21"/>
                <w:szCs w:val="21"/>
              </w:rPr>
              <w:t xml:space="preserve">★</w:t>
            </w:r>
            <w:r>
              <w:rPr>
                <w:rFonts w:hint="eastAsia" w:ascii="宋体" w:hAnsi="宋体" w:cs="仿宋_GB2312"/>
                <w:sz w:val="21"/>
                <w:szCs w:val="21"/>
              </w:rPr>
              <w:t xml:space="preserve">系统扩展性</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具备大规模横向扩展能力，单集群规模最大可扩展不少于100个节点，支持在扩容时，可对纠删码EC N+M 的N进行动态扩列，并且可配置扩容后EC的N+M配比，扩容后由硬盘池内节点数决定EC冗余配比，最大支持设置扩N+M 为22+2。</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负载均衡</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支持业务在节点、硬盘、网口间的负载均衡；</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sz w:val="21"/>
                <w:szCs w:val="21"/>
              </w:rPr>
              <w:t xml:space="preserve">★</w:t>
            </w:r>
            <w:r>
              <w:rPr>
                <w:rFonts w:hint="eastAsia" w:ascii="宋体" w:hAnsi="宋体" w:cs="仿宋_GB2312"/>
                <w:sz w:val="21"/>
                <w:szCs w:val="21"/>
              </w:rPr>
              <w:t xml:space="preserve">数据重构</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当磁盘或存储节点故障时，系统能自动进行数据重建。支持数据快速重构，当磁盘或存储节点故障时，系统能自动进行数据重建，在无人工干预条件下，数据重建速度能满足每TB≤15分钟。</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▲配置参数</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每节点配置如下：</w:t>
            </w:r>
            <w:r/>
          </w:p>
          <w:p>
            <w:pPr>
              <w:ind w:left="0"/>
              <w:widowControl w:val="off"/>
              <w:rPr>
                <w:rFonts w:ascii="宋体" w:hAnsi="宋体" w:cs="仿宋_GB2312"/>
                <w:sz w:val="21"/>
                <w:szCs w:val="21"/>
              </w:rPr>
            </w:pPr>
            <w:r>
              <w:rPr>
                <w:rFonts w:hint="eastAsia" w:ascii="宋体" w:hAnsi="宋体" w:cs="仿宋_GB2312"/>
                <w:sz w:val="21"/>
                <w:szCs w:val="21"/>
              </w:rPr>
              <w:t xml:space="preserve">1）CPU:配置2颗国产CPU，单颗主频≥2.6GHz，内核数≥32核；</w:t>
            </w:r>
            <w:r>
              <w:rPr>
                <w:rFonts w:hint="eastAsia" w:ascii="宋体" w:hAnsi="宋体" w:cs="仿宋_GB2312"/>
                <w:sz w:val="21"/>
                <w:szCs w:val="21"/>
              </w:rPr>
              <w:br/>
            </w:r>
            <w:r>
              <w:rPr>
                <w:rFonts w:hint="eastAsia" w:ascii="宋体" w:hAnsi="宋体" w:cs="仿宋_GB2312"/>
                <w:sz w:val="21"/>
                <w:szCs w:val="21"/>
              </w:rPr>
              <w:t xml:space="preserve">2）内存：配置≥128GB内存，支持并配置掉电保护，保障节点故障情况下缓存中的数据不丢失；</w:t>
            </w:r>
            <w:r>
              <w:rPr>
                <w:rFonts w:hint="eastAsia" w:ascii="宋体" w:hAnsi="宋体" w:cs="仿宋_GB2312"/>
                <w:sz w:val="21"/>
                <w:szCs w:val="21"/>
              </w:rPr>
              <w:br/>
            </w:r>
            <w:r>
              <w:rPr>
                <w:rFonts w:hint="eastAsia" w:ascii="宋体" w:hAnsi="宋体" w:cs="仿宋_GB2312"/>
                <w:sz w:val="21"/>
                <w:szCs w:val="21"/>
              </w:rPr>
              <w:t xml:space="preserve">3）系统盘：配置≥2块480GB SSD盘；</w:t>
            </w:r>
            <w:r>
              <w:rPr>
                <w:rFonts w:hint="eastAsia" w:ascii="宋体" w:hAnsi="宋体" w:cs="仿宋_GB2312"/>
                <w:sz w:val="21"/>
                <w:szCs w:val="21"/>
              </w:rPr>
              <w:br/>
            </w:r>
            <w:r>
              <w:rPr>
                <w:rFonts w:hint="eastAsia" w:ascii="宋体" w:hAnsi="宋体" w:cs="仿宋_GB2312"/>
                <w:sz w:val="21"/>
                <w:szCs w:val="21"/>
              </w:rPr>
              <w:t xml:space="preserve">4）缓存盘：配置≥1块3.2TB NVMe SSD；</w:t>
            </w:r>
            <w:r>
              <w:rPr>
                <w:rFonts w:hint="eastAsia" w:ascii="宋体" w:hAnsi="宋体" w:cs="仿宋_GB2312"/>
                <w:sz w:val="21"/>
                <w:szCs w:val="21"/>
              </w:rPr>
              <w:br/>
            </w:r>
            <w:r>
              <w:rPr>
                <w:rFonts w:hint="eastAsia" w:ascii="宋体" w:hAnsi="宋体" w:cs="仿宋_GB2312"/>
                <w:sz w:val="21"/>
                <w:szCs w:val="21"/>
              </w:rPr>
              <w:t xml:space="preserve">5）主存盘：配置≥12块8TB 7.2K SATA硬盘作为主存盘；</w:t>
            </w:r>
            <w:r>
              <w:rPr>
                <w:rFonts w:hint="eastAsia" w:ascii="宋体" w:hAnsi="宋体" w:cs="仿宋_GB2312"/>
                <w:sz w:val="21"/>
                <w:szCs w:val="21"/>
              </w:rPr>
              <w:br/>
            </w:r>
            <w:r>
              <w:rPr>
                <w:rFonts w:hint="eastAsia" w:ascii="宋体" w:hAnsi="宋体" w:cs="仿宋_GB2312"/>
                <w:sz w:val="21"/>
                <w:szCs w:val="21"/>
              </w:rPr>
              <w:t xml:space="preserve">6）网口：配置≥4个10G网口，且配置万兆光模块；</w:t>
            </w:r>
            <w:r/>
          </w:p>
        </w:tc>
      </w:tr>
    </w:tbl>
    <w:p>
      <w:pPr>
        <w:pStyle w:val="1025"/>
        <w:ind w:left="0" w:firstLine="0"/>
        <w:rPr>
          <w:rFonts w:ascii="宋体" w:hAnsi="宋体"/>
          <w:sz w:val="21"/>
          <w:szCs w:val="21"/>
        </w:rPr>
      </w:pPr>
      <w:r>
        <w:rPr>
          <w:rFonts w:ascii="宋体" w:hAnsi="宋体"/>
          <w:sz w:val="21"/>
          <w:szCs w:val="21"/>
        </w:rPr>
      </w:r>
      <w:r/>
    </w:p>
    <w:p>
      <w:pPr>
        <w:numPr>
          <w:ilvl w:val="0"/>
          <w:numId w:val="5"/>
        </w:numPr>
        <w:ind w:left="0"/>
        <w:spacing w:line="360" w:lineRule="auto"/>
        <w:widowControl w:val="off"/>
        <w:rPr>
          <w:rFonts w:ascii="宋体" w:hAnsi="宋体" w:cs="仿宋"/>
          <w:bCs/>
          <w:sz w:val="21"/>
          <w:szCs w:val="21"/>
          <w:lang w:bidi="ar"/>
        </w:rPr>
      </w:pPr>
      <w:r>
        <w:rPr>
          <w:rFonts w:hint="eastAsia" w:ascii="宋体" w:hAnsi="宋体" w:cs="仿宋_GB2312"/>
          <w:bCs/>
          <w:sz w:val="21"/>
          <w:szCs w:val="21"/>
          <w:lang w:bidi="ar"/>
        </w:rPr>
        <w:t xml:space="preserve">文件存储</w:t>
      </w:r>
      <w:r/>
    </w:p>
    <w:tbl>
      <w:tblPr>
        <w:tblStyle w:val="1024"/>
        <w:tblW w:w="0" w:type="auto"/>
        <w:jc w:val="center"/>
        <w:tblLayout w:type="fixed"/>
        <w:tblCellMar>
          <w:left w:w="108" w:type="dxa"/>
          <w:top w:w="0" w:type="dxa"/>
          <w:right w:w="108" w:type="dxa"/>
          <w:bottom w:w="0" w:type="dxa"/>
        </w:tblCellMar>
        <w:tblLook w:val="04A0" w:firstRow="1" w:lastRow="0" w:firstColumn="1" w:lastColumn="0" w:noHBand="0" w:noVBand="1"/>
      </w:tblPr>
      <w:tblGrid>
        <w:gridCol w:w="1688"/>
        <w:gridCol w:w="6563"/>
      </w:tblGrid>
      <w:tr>
        <w:trPr>
          <w:jc w:val="center"/>
          <w:trHeight w:val="334"/>
        </w:trPr>
        <w:tc>
          <w:tcPr>
            <w:tcBorders>
              <w:top w:val="single" w:color="auto" w:sz="4" w:space="0"/>
              <w:left w:val="single" w:color="auto" w:sz="4" w:space="0"/>
              <w:bottom w:val="single" w:color="auto" w:sz="4" w:space="0"/>
              <w:right w:val="single" w:color="auto" w:sz="4" w:space="0"/>
            </w:tcBorders>
            <w:tcW w:w="1688" w:type="dxa"/>
            <w:vAlign w:val="bottom"/>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指标项目</w:t>
            </w:r>
            <w:r/>
          </w:p>
        </w:tc>
        <w:tc>
          <w:tcPr>
            <w:tcBorders>
              <w:top w:val="single" w:color="auto" w:sz="4" w:space="0"/>
              <w:left w:val="none" w:color="000000" w:sz="4" w:space="0"/>
              <w:bottom w:val="single" w:color="auto" w:sz="4" w:space="0"/>
              <w:right w:val="single" w:color="auto" w:sz="4" w:space="0"/>
            </w:tcBorders>
            <w:tcW w:w="6563" w:type="dxa"/>
            <w:vAlign w:val="bottom"/>
            <w:textDirection w:val="lrTb"/>
            <w:noWrap w:val="false"/>
          </w:tcPr>
          <w:p>
            <w:pPr>
              <w:ind w:left="400"/>
              <w:jc w:val="center"/>
              <w:widowControl w:val="off"/>
              <w:rPr>
                <w:rFonts w:ascii="宋体" w:hAnsi="宋体" w:cs="Times New Roman"/>
                <w:b/>
                <w:sz w:val="21"/>
                <w:szCs w:val="21"/>
              </w:rPr>
            </w:pPr>
            <w:r>
              <w:rPr>
                <w:rFonts w:hint="eastAsia" w:ascii="宋体" w:hAnsi="宋体" w:cs="Times New Roman"/>
                <w:b/>
                <w:sz w:val="21"/>
                <w:szCs w:val="21"/>
              </w:rPr>
              <w:t xml:space="preserve">技术要求</w:t>
            </w:r>
            <w:r/>
          </w:p>
        </w:tc>
      </w:tr>
      <w:tr>
        <w:trPr>
          <w:jc w:val="center"/>
          <w:trHeight w:val="6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分布式架构</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基于海量数据的可靠性和高扩展性，本次采用全对称分布式架构，无独立元数据服务器或元数据节点；</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协议支持</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支持NFS/CIFS/POSIX/MPI-IO等多种访问协议</w:t>
            </w:r>
            <w:r/>
          </w:p>
        </w:tc>
      </w:tr>
      <w:tr>
        <w:trPr>
          <w:jc w:val="center"/>
          <w:trHeight w:val="27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sz w:val="21"/>
                <w:szCs w:val="21"/>
              </w:rPr>
              <w:t xml:space="preserve">★</w:t>
            </w:r>
            <w:r>
              <w:rPr>
                <w:rFonts w:hint="eastAsia" w:ascii="宋体" w:hAnsi="宋体" w:cs="仿宋_GB2312"/>
                <w:sz w:val="21"/>
                <w:szCs w:val="21"/>
              </w:rPr>
              <w:t xml:space="preserve">高可用</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硬件设备包括保电内存、BBU、 SSD缓存、主存盘具有数据存储保护能力，NFS/CIFS/POSIX/MPI-IO/FTP/FTPS等协议的文件数据在断电后数据能够继续保存；</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系统扩展性</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具备大规模横向扩展能力，单集群规模最大可扩展不少于100个节点；</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sz w:val="21"/>
                <w:szCs w:val="21"/>
              </w:rPr>
              <w:t xml:space="preserve">★</w:t>
            </w:r>
            <w:r>
              <w:rPr>
                <w:rFonts w:hint="eastAsia" w:ascii="宋体" w:hAnsi="宋体" w:cs="仿宋_GB2312"/>
                <w:sz w:val="21"/>
                <w:szCs w:val="21"/>
              </w:rPr>
              <w:t xml:space="preserve">多租户</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支持多个租户，每个租户可以在web界面上配置不同业务网络VLAN实现业务网络隔离，可基于租户设置域控、协议类型、Qos,支持以租户为粒度进行元数据检索和审计日志查询；支持不同租户下创建同名的namespace(根目录）；</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sz w:val="21"/>
                <w:szCs w:val="21"/>
              </w:rPr>
              <w:t xml:space="preserve">★</w:t>
            </w:r>
            <w:r>
              <w:rPr>
                <w:rFonts w:hint="eastAsia" w:ascii="宋体" w:hAnsi="宋体" w:cs="仿宋_GB2312"/>
                <w:sz w:val="21"/>
                <w:szCs w:val="21"/>
              </w:rPr>
              <w:t xml:space="preserve">配额</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支持在租户、命名空间、Dtree和任意目录、任意非空目录状态配置配额，性能不受影响；支持容量和文件数配额，可基于用户（unix和 windows用户）和用户组设置配额；支持默认配额；配额设置后，文件/对象/大数据协议写入的数据均受控制。</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数据保护方式</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采用纠删码（N+M）的容错方式；</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负载均衡</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支持业务在节点、硬盘、网口间的负载均衡；</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数据重构</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当磁盘或存储节点故障时，系统能自动进行数据重建。</w:t>
            </w:r>
            <w:r/>
          </w:p>
        </w:tc>
      </w:tr>
      <w:tr>
        <w:trPr>
          <w:jc w:val="center"/>
          <w:trHeight w:val="269"/>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回收站</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1）支持误删除的回收站功能；</w:t>
            </w:r>
            <w:r>
              <w:rPr>
                <w:rFonts w:hint="eastAsia" w:ascii="宋体" w:hAnsi="宋体" w:cs="仿宋_GB2312"/>
                <w:sz w:val="21"/>
                <w:szCs w:val="21"/>
              </w:rPr>
              <w:br/>
            </w:r>
            <w:r>
              <w:rPr>
                <w:rFonts w:hint="eastAsia" w:ascii="宋体" w:hAnsi="宋体" w:cs="仿宋_GB2312"/>
                <w:sz w:val="21"/>
                <w:szCs w:val="21"/>
              </w:rPr>
              <w:t xml:space="preserve">2）回收站内文件的保留时长和扫描周期可配置；</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sz w:val="21"/>
                <w:szCs w:val="21"/>
              </w:rPr>
              <w:t xml:space="preserve">★</w:t>
            </w:r>
            <w:r>
              <w:rPr>
                <w:rFonts w:hint="eastAsia" w:ascii="宋体" w:hAnsi="宋体" w:cs="仿宋_GB2312"/>
                <w:sz w:val="21"/>
                <w:szCs w:val="21"/>
              </w:rPr>
              <w:t xml:space="preserve">数据完整性</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支持数据完整性校验功能(DIF)，数据静默错误（UNC、DIF)可自动校验并修复。</w:t>
            </w:r>
            <w:r/>
          </w:p>
        </w:tc>
      </w:tr>
      <w:tr>
        <w:trPr>
          <w:jc w:val="center"/>
          <w:trHeight w:val="9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▲配置参数</w:t>
            </w:r>
            <w:r/>
          </w:p>
        </w:tc>
        <w:tc>
          <w:tcPr>
            <w:tcBorders>
              <w:top w:val="single" w:color="auto" w:sz="4" w:space="0"/>
              <w:left w:val="none" w:color="000000" w:sz="4" w:space="0"/>
              <w:bottom w:val="single" w:color="auto" w:sz="4" w:space="0"/>
              <w:right w:val="single" w:color="auto" w:sz="4" w:space="0"/>
            </w:tcBorders>
            <w:tcW w:w="6563"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每节点配置如下：</w:t>
            </w:r>
            <w:r/>
          </w:p>
          <w:p>
            <w:pPr>
              <w:ind w:left="0"/>
              <w:widowControl w:val="off"/>
              <w:rPr>
                <w:rFonts w:ascii="宋体" w:hAnsi="宋体" w:cs="仿宋_GB2312"/>
                <w:sz w:val="21"/>
                <w:szCs w:val="21"/>
              </w:rPr>
            </w:pPr>
            <w:r>
              <w:rPr>
                <w:rFonts w:hint="eastAsia" w:ascii="宋体" w:hAnsi="宋体" w:cs="仿宋_GB2312"/>
                <w:sz w:val="21"/>
                <w:szCs w:val="21"/>
              </w:rPr>
              <w:t xml:space="preserve">1）CPU:配置2颗国产CPU，单颗主频≥2.6GHz，内核数≥32核；</w:t>
            </w:r>
            <w:r>
              <w:rPr>
                <w:rFonts w:hint="eastAsia" w:ascii="宋体" w:hAnsi="宋体" w:cs="仿宋_GB2312"/>
                <w:sz w:val="21"/>
                <w:szCs w:val="21"/>
              </w:rPr>
              <w:br/>
            </w:r>
            <w:r>
              <w:rPr>
                <w:rFonts w:hint="eastAsia" w:ascii="宋体" w:hAnsi="宋体" w:cs="仿宋_GB2312"/>
                <w:sz w:val="21"/>
                <w:szCs w:val="21"/>
              </w:rPr>
              <w:t xml:space="preserve">2）内存：配置≥128GB内存，支持并配置掉电保护，保障节点故障情况下缓存中的数据不丢失；</w:t>
            </w:r>
            <w:r>
              <w:rPr>
                <w:rFonts w:hint="eastAsia" w:ascii="宋体" w:hAnsi="宋体" w:cs="仿宋_GB2312"/>
                <w:sz w:val="21"/>
                <w:szCs w:val="21"/>
              </w:rPr>
              <w:br/>
            </w:r>
            <w:r>
              <w:rPr>
                <w:rFonts w:hint="eastAsia" w:ascii="宋体" w:hAnsi="宋体" w:cs="仿宋_GB2312"/>
                <w:sz w:val="21"/>
                <w:szCs w:val="21"/>
              </w:rPr>
              <w:t xml:space="preserve">3）系统盘：配置≥2块480GB SSD盘；</w:t>
            </w:r>
            <w:r>
              <w:rPr>
                <w:rFonts w:hint="eastAsia" w:ascii="宋体" w:hAnsi="宋体" w:cs="仿宋_GB2312"/>
                <w:sz w:val="21"/>
                <w:szCs w:val="21"/>
              </w:rPr>
              <w:br/>
            </w:r>
            <w:r>
              <w:rPr>
                <w:rFonts w:hint="eastAsia" w:ascii="宋体" w:hAnsi="宋体" w:cs="仿宋_GB2312"/>
                <w:sz w:val="21"/>
                <w:szCs w:val="21"/>
              </w:rPr>
              <w:t xml:space="preserve">4）缓存盘：配置≥1块3.2TB NVMe SSD；</w:t>
            </w:r>
            <w:r>
              <w:rPr>
                <w:rFonts w:hint="eastAsia" w:ascii="宋体" w:hAnsi="宋体" w:cs="仿宋_GB2312"/>
                <w:sz w:val="21"/>
                <w:szCs w:val="21"/>
              </w:rPr>
              <w:br/>
            </w:r>
            <w:r>
              <w:rPr>
                <w:rFonts w:hint="eastAsia" w:ascii="宋体" w:hAnsi="宋体" w:cs="仿宋_GB2312"/>
                <w:sz w:val="21"/>
                <w:szCs w:val="21"/>
              </w:rPr>
              <w:t xml:space="preserve">5）主存盘：配置≥12块8TB 7.2K SATA硬盘作为主存盘；</w:t>
            </w:r>
            <w:r>
              <w:rPr>
                <w:rFonts w:hint="eastAsia" w:ascii="宋体" w:hAnsi="宋体" w:cs="仿宋_GB2312"/>
                <w:sz w:val="21"/>
                <w:szCs w:val="21"/>
              </w:rPr>
              <w:br/>
            </w:r>
            <w:r>
              <w:rPr>
                <w:rFonts w:hint="eastAsia" w:ascii="宋体" w:hAnsi="宋体" w:cs="仿宋_GB2312"/>
                <w:sz w:val="21"/>
                <w:szCs w:val="21"/>
              </w:rPr>
              <w:t xml:space="preserve">6）网口：配置≥4个10G网口，且配置万兆光模块；</w:t>
            </w:r>
            <w:r/>
          </w:p>
        </w:tc>
      </w:tr>
    </w:tbl>
    <w:p>
      <w:pPr>
        <w:pStyle w:val="1025"/>
        <w:ind w:left="0" w:firstLine="0"/>
        <w:rPr>
          <w:rFonts w:ascii="宋体" w:hAnsi="宋体"/>
          <w:sz w:val="21"/>
          <w:szCs w:val="21"/>
        </w:rPr>
      </w:pPr>
      <w:r>
        <w:rPr>
          <w:rFonts w:ascii="宋体" w:hAnsi="宋体"/>
          <w:sz w:val="21"/>
          <w:szCs w:val="21"/>
        </w:rPr>
      </w:r>
      <w:r/>
    </w:p>
    <w:p>
      <w:pPr>
        <w:numPr>
          <w:ilvl w:val="0"/>
          <w:numId w:val="5"/>
        </w:num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对象存储</w:t>
      </w:r>
      <w:r/>
    </w:p>
    <w:tbl>
      <w:tblPr>
        <w:tblStyle w:val="1024"/>
        <w:tblpPr w:horzAnchor="page" w:tblpX="1966" w:vertAnchor="text" w:tblpY="67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667"/>
        <w:gridCol w:w="6566"/>
      </w:tblGrid>
      <w:tr>
        <w:trPr>
          <w:trHeight w:val="270"/>
        </w:trPr>
        <w:tc>
          <w:tcPr>
            <w:tcBorders>
              <w:top w:val="single" w:color="000000" w:sz="4" w:space="0"/>
              <w:left w:val="single" w:color="000000" w:sz="4" w:space="0"/>
              <w:bottom w:val="single" w:color="000000" w:sz="4" w:space="0"/>
              <w:right w:val="single" w:color="000000" w:sz="4" w:space="0"/>
            </w:tcBorders>
            <w:tcW w:w="1667" w:type="dxa"/>
            <w:vAlign w:val="bottom"/>
            <w:textDirection w:val="lrTb"/>
            <w:noWrap w:val="false"/>
          </w:tcPr>
          <w:p>
            <w:pPr>
              <w:ind w:left="0"/>
              <w:jc w:val="center"/>
              <w:widowControl w:val="off"/>
              <w:rPr>
                <w:rFonts w:ascii="宋体" w:hAnsi="宋体" w:cs="仿宋_GB2312"/>
                <w:b/>
                <w:sz w:val="21"/>
                <w:szCs w:val="21"/>
              </w:rPr>
            </w:pPr>
            <w:r>
              <w:rPr>
                <w:rFonts w:hint="eastAsia" w:ascii="宋体" w:hAnsi="宋体" w:cs="仿宋_GB2312"/>
                <w:b/>
                <w:sz w:val="21"/>
                <w:szCs w:val="21"/>
              </w:rPr>
              <w:t xml:space="preserve">指标项目</w:t>
            </w:r>
            <w:r/>
          </w:p>
        </w:tc>
        <w:tc>
          <w:tcPr>
            <w:tcBorders>
              <w:top w:val="single" w:color="000000" w:sz="4" w:space="0"/>
              <w:left w:val="single" w:color="000000" w:sz="4" w:space="0"/>
              <w:bottom w:val="single" w:color="000000" w:sz="4" w:space="0"/>
              <w:right w:val="single" w:color="000000" w:sz="4" w:space="0"/>
            </w:tcBorders>
            <w:tcW w:w="6566" w:type="dxa"/>
            <w:vAlign w:val="bottom"/>
            <w:textDirection w:val="lrTb"/>
            <w:noWrap w:val="false"/>
          </w:tcPr>
          <w:p>
            <w:pPr>
              <w:ind w:left="0"/>
              <w:jc w:val="center"/>
              <w:widowControl w:val="off"/>
              <w:rPr>
                <w:rFonts w:ascii="宋体" w:hAnsi="宋体" w:cs="仿宋_GB2312"/>
                <w:b/>
                <w:sz w:val="21"/>
                <w:szCs w:val="21"/>
              </w:rPr>
            </w:pPr>
            <w:r>
              <w:rPr>
                <w:rFonts w:hint="eastAsia" w:ascii="宋体" w:hAnsi="宋体" w:cs="仿宋_GB2312"/>
                <w:b/>
                <w:sz w:val="21"/>
                <w:szCs w:val="21"/>
              </w:rPr>
              <w:t xml:space="preserve">技术要求</w:t>
            </w:r>
            <w:r/>
          </w:p>
        </w:tc>
      </w:tr>
      <w:tr>
        <w:trPr>
          <w:trHeight w:val="540"/>
        </w:trPr>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对象存储服务</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支持对象上传、下载、删除、查询、共享，支持对象多版本，支持存储话单，支持桶的配额设置和查询，支持创建桶、删除桶，查询所有桶，设置桶内对象的生命周期，支持HTTPS访问。</w:t>
            </w:r>
            <w:r/>
          </w:p>
        </w:tc>
      </w:tr>
      <w:tr>
        <w:trPr>
          <w:trHeight w:val="90"/>
        </w:trPr>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高可靠性</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支持多层次数据保护能力：硬盘级、节点级、机柜级。</w:t>
            </w:r>
            <w:r/>
          </w:p>
        </w:tc>
      </w:tr>
      <w:tr>
        <w:trPr>
          <w:trHeight w:val="540"/>
        </w:trPr>
        <w:tc>
          <w:tcPr>
            <w:tcBorders>
              <w:top w:val="single" w:color="000000" w:sz="4" w:space="0"/>
              <w:left w:val="single" w:color="000000" w:sz="4" w:space="0"/>
              <w:bottom w:val="single" w:color="000000" w:sz="4" w:space="0"/>
              <w:right w:val="single" w:color="000000" w:sz="4" w:space="0"/>
            </w:tcBorders>
            <w:tcW w:w="1667" w:type="dxa"/>
            <w:vAlign w:val="center"/>
            <w:vMerge w:val="restart"/>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访问控制</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支持主流编程语言SDK，如JAVA、Python等</w:t>
            </w:r>
            <w:r>
              <w:rPr>
                <w:rFonts w:hint="eastAsia" w:ascii="宋体" w:hAnsi="宋体" w:cs="仿宋_GB2312"/>
                <w:sz w:val="21"/>
                <w:szCs w:val="21"/>
              </w:rPr>
              <w:br/>
            </w:r>
            <w:r>
              <w:rPr>
                <w:rFonts w:hint="eastAsia" w:ascii="宋体" w:hAnsi="宋体" w:cs="仿宋_GB2312"/>
                <w:sz w:val="21"/>
                <w:szCs w:val="21"/>
              </w:rPr>
              <w:t xml:space="preserve">支持RESTFUL协议接口，支持使用 http 或 https 访问对象文件</w:t>
            </w:r>
            <w:r/>
          </w:p>
        </w:tc>
      </w:tr>
      <w:tr>
        <w:trPr>
          <w:trHeight w:val="270"/>
        </w:trPr>
        <w:tc>
          <w:tcPr>
            <w:tcBorders>
              <w:top w:val="single" w:color="000000" w:sz="4" w:space="0"/>
              <w:left w:val="single" w:color="000000" w:sz="4" w:space="0"/>
              <w:bottom w:val="single" w:color="000000" w:sz="4" w:space="0"/>
              <w:right w:val="single" w:color="000000" w:sz="4" w:space="0"/>
            </w:tcBorders>
            <w:tcW w:w="1667" w:type="dxa"/>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支持对指定桶开启访问日志记录配置，开启后所有访问请求创建并保存访问日志记录，可用于进行请求分析或日志审计</w:t>
            </w:r>
            <w:r/>
          </w:p>
        </w:tc>
      </w:tr>
      <w:tr>
        <w:trPr>
          <w:trHeight w:val="270"/>
        </w:trPr>
        <w:tc>
          <w:tcPr>
            <w:tcBorders>
              <w:top w:val="single" w:color="000000" w:sz="4" w:space="0"/>
              <w:left w:val="single" w:color="000000" w:sz="4" w:space="0"/>
              <w:bottom w:val="single" w:color="000000" w:sz="4" w:space="0"/>
              <w:right w:val="single" w:color="000000" w:sz="4" w:space="0"/>
            </w:tcBorders>
            <w:tcW w:w="1667" w:type="dxa"/>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支持对象文件的上传、下载、复制、删除操作</w:t>
            </w:r>
            <w:r/>
          </w:p>
        </w:tc>
      </w:tr>
      <w:tr>
        <w:trPr>
          <w:trHeight w:val="270"/>
        </w:trPr>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数据保护方式</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支持数据冗余保护，采用EC冗余算法</w:t>
            </w:r>
            <w:r/>
          </w:p>
        </w:tc>
      </w:tr>
      <w:tr>
        <w:trPr>
          <w:trHeight w:val="540"/>
        </w:trPr>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多租户</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支持多租户，在同一套业务集群中通过逻辑多租实现用户数据安全。可实现租户间数据相互隔离，访问控制权限，支持桶接口、对象接口，ACL访问权限接口，禁止非授权用户访问对象存储， 支持企业项目，实现用户间的资源隔离</w:t>
            </w:r>
            <w:r/>
          </w:p>
        </w:tc>
      </w:tr>
      <w:tr>
        <w:trPr>
          <w:trHeight w:val="1890"/>
        </w:trPr>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▲配置参数</w:t>
            </w:r>
            <w:r/>
          </w:p>
        </w:tc>
        <w:tc>
          <w:tcPr>
            <w:tcBorders>
              <w:top w:val="single" w:color="000000" w:sz="4" w:space="0"/>
              <w:left w:val="single" w:color="000000" w:sz="4" w:space="0"/>
              <w:bottom w:val="single" w:color="000000" w:sz="4" w:space="0"/>
              <w:right w:val="single" w:color="000000" w:sz="4" w:space="0"/>
            </w:tcBorders>
            <w:tcW w:w="6566" w:type="dxa"/>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每节点配置如下：</w:t>
            </w:r>
            <w:r>
              <w:rPr>
                <w:rFonts w:hint="eastAsia" w:ascii="宋体" w:hAnsi="宋体" w:cs="仿宋_GB2312"/>
                <w:sz w:val="21"/>
                <w:szCs w:val="21"/>
              </w:rPr>
              <w:br/>
            </w:r>
            <w:r>
              <w:rPr>
                <w:rFonts w:hint="eastAsia" w:ascii="宋体" w:hAnsi="宋体" w:cs="仿宋_GB2312"/>
                <w:sz w:val="21"/>
                <w:szCs w:val="21"/>
              </w:rPr>
              <w:t xml:space="preserve">1）CPU:配置2颗国产CPU，单颗主频≥2.6GHz，内核数≥32核；</w:t>
            </w:r>
            <w:r>
              <w:rPr>
                <w:rFonts w:hint="eastAsia" w:ascii="宋体" w:hAnsi="宋体" w:cs="仿宋_GB2312"/>
                <w:sz w:val="21"/>
                <w:szCs w:val="21"/>
              </w:rPr>
              <w:br/>
            </w:r>
            <w:r>
              <w:rPr>
                <w:rFonts w:hint="eastAsia" w:ascii="宋体" w:hAnsi="宋体" w:cs="仿宋_GB2312"/>
                <w:sz w:val="21"/>
                <w:szCs w:val="21"/>
              </w:rPr>
              <w:t xml:space="preserve">2）内存：配置≥192GB内存，支持并配置掉电保护，保障节点故障情况下缓存中的数据不丢失；</w:t>
            </w:r>
            <w:r>
              <w:rPr>
                <w:rFonts w:hint="eastAsia" w:ascii="宋体" w:hAnsi="宋体" w:cs="仿宋_GB2312"/>
                <w:sz w:val="21"/>
                <w:szCs w:val="21"/>
              </w:rPr>
              <w:br/>
            </w:r>
            <w:r>
              <w:rPr>
                <w:rFonts w:hint="eastAsia" w:ascii="宋体" w:hAnsi="宋体" w:cs="仿宋_GB2312"/>
                <w:sz w:val="21"/>
                <w:szCs w:val="21"/>
              </w:rPr>
              <w:t xml:space="preserve">3）系统盘：配置≥2块960GB SSD盘；</w:t>
            </w:r>
            <w:r>
              <w:rPr>
                <w:rFonts w:hint="eastAsia" w:ascii="宋体" w:hAnsi="宋体" w:cs="仿宋_GB2312"/>
                <w:sz w:val="21"/>
                <w:szCs w:val="21"/>
              </w:rPr>
              <w:br/>
            </w:r>
            <w:r>
              <w:rPr>
                <w:rFonts w:hint="eastAsia" w:ascii="宋体" w:hAnsi="宋体" w:cs="仿宋_GB2312"/>
                <w:sz w:val="21"/>
                <w:szCs w:val="21"/>
              </w:rPr>
              <w:t xml:space="preserve">4）缓存盘：配置≥2块3.2TB NVMe SSD；</w:t>
            </w:r>
            <w:r>
              <w:rPr>
                <w:rFonts w:hint="eastAsia" w:ascii="宋体" w:hAnsi="宋体" w:cs="仿宋_GB2312"/>
                <w:sz w:val="21"/>
                <w:szCs w:val="21"/>
              </w:rPr>
              <w:br/>
            </w:r>
            <w:r>
              <w:rPr>
                <w:rFonts w:hint="eastAsia" w:ascii="宋体" w:hAnsi="宋体" w:cs="仿宋_GB2312"/>
                <w:sz w:val="21"/>
                <w:szCs w:val="21"/>
              </w:rPr>
              <w:t xml:space="preserve">5）主存盘：配置≥12块16TB 7.2K SATA硬盘作为主存盘；</w:t>
            </w:r>
            <w:r>
              <w:rPr>
                <w:rFonts w:hint="eastAsia" w:ascii="宋体" w:hAnsi="宋体" w:cs="仿宋_GB2312"/>
                <w:sz w:val="21"/>
                <w:szCs w:val="21"/>
              </w:rPr>
              <w:br/>
            </w:r>
            <w:r>
              <w:rPr>
                <w:rFonts w:hint="eastAsia" w:ascii="宋体" w:hAnsi="宋体" w:cs="仿宋_GB2312"/>
                <w:sz w:val="21"/>
                <w:szCs w:val="21"/>
              </w:rPr>
              <w:t xml:space="preserve">6）网口：配置≥4个10G网口，且配置万兆光模块；</w:t>
            </w:r>
            <w:r/>
          </w:p>
        </w:tc>
      </w:tr>
    </w:tbl>
    <w:p>
      <w:pPr>
        <w:numPr>
          <w:ilvl w:val="255"/>
          <w:numId w:val="0"/>
        </w:numPr>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1.2.14.云安全要求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1.</w:t>
      </w:r>
      <w:r>
        <w:rPr>
          <w:rFonts w:hint="eastAsia" w:ascii="宋体" w:hAnsi="宋体"/>
          <w:b/>
          <w:bCs/>
          <w:sz w:val="21"/>
          <w:szCs w:val="21"/>
        </w:rPr>
        <w:t xml:space="preserve">云平台安全要求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1.1.</w:t>
      </w:r>
      <w:r>
        <w:rPr>
          <w:rFonts w:hint="eastAsia" w:ascii="宋体" w:hAnsi="宋体"/>
          <w:b/>
          <w:bCs/>
          <w:sz w:val="21"/>
          <w:szCs w:val="21"/>
        </w:rPr>
        <w:t xml:space="preserve">功能要求</w:t>
      </w:r>
      <w:r>
        <w:rPr>
          <w:rFonts w:ascii="宋体" w:hAnsi="宋体"/>
          <w:b/>
          <w:bCs/>
          <w:sz w:val="21"/>
          <w:szCs w:val="21"/>
        </w:rPr>
        <w:t xml:space="preserve"> </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政务云资源池须严格遵循网络安全等级保护2.0三级要求，按照“一个中心”管理下的“三重保护体系”进行建设，以安全管理中心为</w:t>
      </w:r>
      <w:r>
        <w:rPr>
          <w:rFonts w:hint="eastAsia" w:ascii="宋体" w:hAnsi="宋体" w:cs="仿宋_GB2312"/>
          <w:sz w:val="21"/>
          <w:szCs w:val="21"/>
        </w:rPr>
        <w:t xml:space="preserve">核心，构建安全计算环境、安全区域边界和安全通信网络，确保应用系统能够在安全管理中心的统一管控下运行，不会进入任何非预期状态，从而防止用户的非授权访问和越权访问，确保应用系统的安全。构建全方位安全防护体系，包括物理环境层面、通信网络层面、区域边界层面、计算环境层面、安全管理中心等，同时构建安全运营体系，实现网络安全从被动向主动、从静态到动态、从单点到整体、从粗放到精准防御的转变，全面监测和阻断已知网络攻击和未知入侵渗透风险，有效防范来自外部和内部多类型攻击，使得云平台至少符合国家等级保护2.0 三级建设标准。</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1.2.</w:t>
      </w:r>
      <w:r>
        <w:rPr>
          <w:rFonts w:hint="eastAsia" w:ascii="宋体" w:hAnsi="宋体"/>
          <w:b/>
          <w:bCs/>
          <w:sz w:val="21"/>
          <w:szCs w:val="21"/>
        </w:rPr>
        <w:t xml:space="preserve">技术要求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（1）安全物理环境</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政务云资源池所部署的机房物理安全需要通过严格的环境规划与管理措施，确保网络系统基础设施的可靠性。机房选址需避开建筑顶层、地下室及邻近水源区域，建筑本身需具备防震、防风、防雨能力。机房内部设置防雷、防火、防水多层防护：安装避雷装置与防雷保安器，采用耐火材料隔离重要设备区域，部署自动消防系统与水浸检测报警；</w:t>
      </w:r>
      <w:r>
        <w:rPr>
          <w:rFonts w:hint="eastAsia" w:ascii="宋体" w:hAnsi="宋体" w:cs="仿宋_GB2312"/>
          <w:sz w:val="21"/>
          <w:szCs w:val="21"/>
        </w:rPr>
        <w:t xml:space="preserve">同时配置冗余电力（如双路供电、UPS）和恒温恒湿空调系统，保障设备稳定运行。通信线缆隐蔽铺设，电源与数据线路隔离，关键设备实施电磁屏蔽，降低干扰风险。设备与存储介质需固定并标记，分类存放于防盗监控的专用区域，结合电子门禁、视频监控及红外报警技术防范非法侵入。人员出入实行分级管控，核心区域设置过渡隔离区，来访需审批并全程监督，所有操作记录留存审计。整体设计遵循国家A级机房标准、网络安全等级保护2.0三级及商用密码应用安全性评估相关要求，通过环境、设备、管理的协同防护，实现防破坏、防泄露、防篡改的综合安全目标。</w:t>
      </w:r>
      <w:r/>
    </w:p>
    <w:p>
      <w:pPr>
        <w:numPr>
          <w:ilvl w:val="0"/>
          <w:numId w:val="6"/>
        </w:numPr>
        <w:spacing w:line="360" w:lineRule="auto"/>
        <w:widowControl w:val="off"/>
        <w:rPr>
          <w:rFonts w:ascii="宋体" w:hAnsi="宋体" w:cs="仿宋_GB2312"/>
          <w:sz w:val="21"/>
          <w:szCs w:val="21"/>
        </w:rPr>
      </w:pPr>
      <w:r>
        <w:rPr>
          <w:rFonts w:hint="eastAsia" w:ascii="宋体" w:hAnsi="宋体" w:cs="仿宋_GB2312"/>
          <w:sz w:val="21"/>
          <w:szCs w:val="21"/>
        </w:rPr>
        <w:t xml:space="preserve">边界防火墙</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于云边界处部署，隔离云内外，实现网络攻击检测、访问控制、病毒防御等多重边界防护功能，保障云边界安全。</w:t>
      </w:r>
      <w:r/>
    </w:p>
    <w:p>
      <w:pPr>
        <w:numPr>
          <w:ilvl w:val="0"/>
          <w:numId w:val="6"/>
        </w:numPr>
        <w:spacing w:line="360" w:lineRule="auto"/>
        <w:widowControl w:val="off"/>
        <w:rPr>
          <w:rFonts w:ascii="宋体" w:hAnsi="宋体" w:cs="仿宋_GB2312"/>
          <w:sz w:val="21"/>
          <w:szCs w:val="21"/>
        </w:rPr>
      </w:pPr>
      <w:r>
        <w:rPr>
          <w:rFonts w:hint="eastAsia" w:ascii="宋体" w:hAnsi="宋体" w:cs="仿宋_GB2312"/>
          <w:sz w:val="21"/>
          <w:szCs w:val="21"/>
        </w:rPr>
        <w:t xml:space="preserve">WAF</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实现应用层的安全防护，支持应用层的全流量分析，精准检测SQL注入、XSS跨站脚本等攻击，覆盖蠕虫病毒、木马后门等恶意行为，保障平台管理界面的安全。</w:t>
      </w:r>
      <w:r/>
    </w:p>
    <w:p>
      <w:pPr>
        <w:numPr>
          <w:ilvl w:val="0"/>
          <w:numId w:val="6"/>
        </w:numPr>
        <w:spacing w:line="360" w:lineRule="auto"/>
        <w:widowControl w:val="off"/>
        <w:rPr>
          <w:rFonts w:ascii="宋体" w:hAnsi="宋体" w:cs="仿宋_GB2312"/>
          <w:sz w:val="21"/>
          <w:szCs w:val="21"/>
        </w:rPr>
      </w:pPr>
      <w:r>
        <w:rPr>
          <w:rFonts w:hint="eastAsia" w:ascii="宋体" w:hAnsi="宋体" w:cs="仿宋_GB2312"/>
          <w:sz w:val="21"/>
          <w:szCs w:val="21"/>
        </w:rPr>
        <w:t xml:space="preserve">堡垒机</w:t>
      </w:r>
      <w:r/>
    </w:p>
    <w:p>
      <w:pPr>
        <w:ind w:left="0" w:firstLine="42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集中接入管理面主机、数据库等资源，集中管理资源账号与运维账号，实现统一账号、统一授权、统一认证、统一审计功能，保障运维接入安全。</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（4）主机安全</w:t>
      </w:r>
      <w:r/>
    </w:p>
    <w:p>
      <w:pPr>
        <w:ind w:left="0" w:firstLine="42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对平台面主机进行统一防护和管理，能够实时防护主机层面的爆破、木马、勒索等攻击行为，能够对主机漏洞、基线合规情况进行发现和治理。</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（5）日志审计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通过日志审计，实现合规审计与风险溯源，支持网络设备、服务器、数据库等全资产日志采集，按事件类别、级别进行智能分类与存储和展示。</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（6）数据库审计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统一接入平台面数据库，通过数据库审计的细粒度操作监控，实现数据库行为合规管控，支持主流数据库的接入解析，记录增删改查及权限变更操作，基于敏感数据访问规则触发实时告警，满足数据操作全生命周期审计合规要求。</w:t>
      </w:r>
      <w:r/>
    </w:p>
    <w:p>
      <w:pPr>
        <w:ind w:left="0" w:firstLine="42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（7）漏洞扫描</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提供漏洞发现能力，对平台管理界面web、操作系统、中间件等资源进行全方面维度的检测。</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（8）流量监测与响应</w:t>
      </w:r>
      <w:r/>
    </w:p>
    <w:p>
      <w:pPr>
        <w:ind w:left="0" w:firstLine="42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与边界处部署，镜像云平台流量进行深入检测，发现攻击事件，提供自动阻断能力。</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1.3.</w:t>
      </w:r>
      <w:r>
        <w:rPr>
          <w:rFonts w:hint="eastAsia" w:ascii="宋体" w:hAnsi="宋体"/>
          <w:b/>
          <w:bCs/>
          <w:sz w:val="21"/>
          <w:szCs w:val="21"/>
        </w:rPr>
        <w:t xml:space="preserve">参数要求</w:t>
      </w:r>
      <w:r/>
    </w:p>
    <w:tbl>
      <w:tblPr>
        <w:tblStyle w:val="107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60" w:type="dxa"/>
          <w:top w:w="120" w:type="dxa"/>
          <w:right w:w="60" w:type="dxa"/>
          <w:bottom w:w="120" w:type="dxa"/>
        </w:tblCellMar>
        <w:tblLook w:val="04A0" w:firstRow="1" w:lastRow="0" w:firstColumn="1" w:lastColumn="0" w:noHBand="0" w:noVBand="1"/>
      </w:tblPr>
      <w:tblGrid>
        <w:gridCol w:w="1299"/>
        <w:gridCol w:w="1316"/>
        <w:gridCol w:w="7367"/>
      </w:tblGrid>
      <w:tr>
        <w:trPr>
          <w:jc w:val="center"/>
          <w:trHeight w:val="90"/>
        </w:trPr>
        <w:tc>
          <w:tcPr>
            <w:gridSpan w:val="2"/>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left="0"/>
              <w:jc w:val="center"/>
              <w:widowControl w:val="off"/>
              <w:rPr>
                <w:rFonts w:ascii="宋体" w:hAnsi="宋体" w:cs="仿宋_GB2312"/>
                <w:b/>
                <w:bCs/>
                <w:sz w:val="21"/>
                <w:szCs w:val="21"/>
              </w:rPr>
            </w:pPr>
            <w:r>
              <w:rPr>
                <w:rFonts w:hint="eastAsia" w:ascii="宋体" w:hAnsi="宋体" w:cs="仿宋_GB2312"/>
                <w:b/>
                <w:bCs/>
                <w:sz w:val="21"/>
                <w:szCs w:val="21"/>
              </w:rPr>
              <w:t xml:space="preserve">指标项</w:t>
            </w:r>
            <w:r/>
          </w:p>
        </w:tc>
        <w:tc>
          <w:tcPr>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jc w:val="center"/>
              <w:widowControl w:val="off"/>
              <w:rPr>
                <w:rFonts w:ascii="宋体" w:hAnsi="宋体" w:cs="仿宋_GB2312"/>
                <w:b/>
                <w:bCs/>
                <w:sz w:val="21"/>
                <w:szCs w:val="21"/>
              </w:rPr>
            </w:pPr>
            <w:r>
              <w:rPr>
                <w:rFonts w:hint="eastAsia" w:ascii="宋体" w:hAnsi="宋体" w:cs="仿宋_GB2312"/>
                <w:b/>
                <w:bCs/>
                <w:sz w:val="21"/>
                <w:szCs w:val="21"/>
              </w:rPr>
              <w:t xml:space="preserve">技术参数要求</w:t>
            </w:r>
            <w:r/>
          </w:p>
        </w:tc>
      </w:tr>
      <w:tr>
        <w:trPr>
          <w:jc w:val="center"/>
        </w:trPr>
        <w:tc>
          <w:tcPr>
            <w:tcBorders>
              <w:top w:val="none" w:color="000000" w:sz="4" w:space="0"/>
              <w:left w:val="single" w:color="auto" w:sz="4" w:space="0"/>
              <w:right w:val="single" w:color="auto" w:sz="4" w:space="0"/>
            </w:tcBorders>
            <w:tcW w:w="651" w:type="pct"/>
            <w:vAlign w:val="center"/>
            <w:vMerge w:val="restart"/>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防火墙</w:t>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2"/>
              <w:widowControl w:val="off"/>
              <w:rPr>
                <w:rFonts w:ascii="宋体" w:hAnsi="宋体" w:cs="仿宋_GB2312"/>
                <w:sz w:val="21"/>
                <w:szCs w:val="21"/>
              </w:rPr>
            </w:pPr>
            <w:r>
              <w:rPr>
                <w:rFonts w:hint="eastAsia" w:ascii="宋体" w:hAnsi="宋体" w:cs="仿宋_GB2312"/>
                <w:sz w:val="21"/>
                <w:szCs w:val="21"/>
              </w:rPr>
              <w:t xml:space="preserve">硬件规格</w:t>
            </w:r>
            <w:r/>
          </w:p>
        </w:tc>
        <w:tc>
          <w:tcPr>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采用控制、数据、交换、业务相互解耦分离的全分布式架构，主控引擎、业务引擎、交换引擎、接口单元均采用硬件槽位分离的独立硬件模块。</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4"/>
              <w:widowControl w:val="off"/>
              <w:rPr>
                <w:rFonts w:ascii="宋体" w:hAnsi="宋体" w:cs="仿宋_GB2312"/>
                <w:sz w:val="21"/>
                <w:szCs w:val="21"/>
              </w:rPr>
            </w:pPr>
            <w:r>
              <w:rPr>
                <w:rFonts w:hint="eastAsia" w:ascii="宋体" w:hAnsi="宋体" w:cs="仿宋_GB2312"/>
                <w:sz w:val="21"/>
                <w:szCs w:val="21"/>
              </w:rPr>
              <w:t xml:space="preserve">部署模式</w:t>
            </w:r>
            <w:r/>
          </w:p>
        </w:tc>
        <w:tc>
          <w:tcPr>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实现路由模式、透明（网桥）模式、混合模式。</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4"/>
              <w:widowControl w:val="off"/>
              <w:rPr>
                <w:rFonts w:ascii="宋体" w:hAnsi="宋体" w:cs="仿宋_GB2312"/>
                <w:sz w:val="21"/>
                <w:szCs w:val="21"/>
              </w:rPr>
            </w:pPr>
            <w:r>
              <w:rPr>
                <w:rFonts w:hint="eastAsia" w:ascii="宋体" w:hAnsi="宋体" w:cs="仿宋_GB2312"/>
                <w:sz w:val="21"/>
                <w:szCs w:val="21"/>
              </w:rPr>
              <w:t xml:space="preserve">安全策略</w:t>
            </w:r>
            <w:r/>
          </w:p>
        </w:tc>
        <w:tc>
          <w:tcPr>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支持策略风险调优，支持安全策略优化分析，支持策略数冗余及命中分析，支持基于应用风险的策略调优，可根据流量、应用、风险类型等细粒度展示，并给出总体安全评分，便于用户更好的管理安全策略</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入侵防御</w:t>
            </w:r>
            <w:r/>
          </w:p>
        </w:tc>
        <w:tc>
          <w:tcPr>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支持在开启IPS入侵防御功能的情况下，在IPV4和IPV6网络中，对IPS攻击的拦截率≥99%；</w:t>
            </w:r>
            <w:r/>
          </w:p>
        </w:tc>
      </w:tr>
      <w:tr>
        <w:trPr>
          <w:jc w:val="center"/>
        </w:trPr>
        <w:tc>
          <w:tcPr>
            <w:tcBorders>
              <w:left w:val="single" w:color="auto" w:sz="4" w:space="0"/>
              <w:bottom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防病毒</w:t>
            </w:r>
            <w:r/>
          </w:p>
        </w:tc>
        <w:tc>
          <w:tcPr>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支持在开启AV防病毒功能的情况下，在IPV4和IPV6网络中，对包含病毒流量的拦截率≥99%；</w:t>
            </w:r>
            <w:r/>
          </w:p>
        </w:tc>
      </w:tr>
      <w:tr>
        <w:trPr>
          <w:jc w:val="center"/>
        </w:trPr>
        <w:tc>
          <w:tcPr>
            <w:tcBorders>
              <w:top w:val="none" w:color="000000" w:sz="4" w:space="0"/>
              <w:left w:val="single" w:color="auto" w:sz="4" w:space="0"/>
              <w:right w:val="single" w:color="auto" w:sz="4" w:space="0"/>
            </w:tcBorders>
            <w:tcW w:w="651" w:type="pct"/>
            <w:vAlign w:val="center"/>
            <w:vMerge w:val="restart"/>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WAF</w:t>
            </w:r>
            <w:r/>
          </w:p>
        </w:tc>
        <w:tc>
          <w:tcPr>
            <w:tcBorders>
              <w:top w:val="single" w:color="auto" w:sz="4" w:space="0"/>
              <w:left w:val="single" w:color="auto" w:sz="4" w:space="0"/>
              <w:right w:val="single" w:color="auto" w:sz="4" w:space="0"/>
            </w:tcBorders>
            <w:tcW w:w="659" w:type="pct"/>
            <w:vAlign w:val="center"/>
            <w:vMerge w:val="restart"/>
            <w:textDirection w:val="lrTb"/>
            <w:noWrap w:val="false"/>
          </w:tcPr>
          <w:p>
            <w:pPr>
              <w:ind w:left="-4"/>
              <w:jc w:val="center"/>
              <w:widowControl w:val="off"/>
              <w:rPr>
                <w:rFonts w:ascii="宋体" w:hAnsi="宋体" w:cs="仿宋_GB2312"/>
                <w:sz w:val="21"/>
                <w:szCs w:val="21"/>
              </w:rPr>
            </w:pPr>
            <w:r>
              <w:rPr>
                <w:rFonts w:hint="eastAsia" w:ascii="宋体" w:hAnsi="宋体" w:cs="仿宋_GB2312"/>
                <w:sz w:val="21"/>
                <w:szCs w:val="21"/>
              </w:rPr>
              <w:t xml:space="preserve">基础防护</w:t>
            </w:r>
            <w:r/>
          </w:p>
        </w:tc>
        <w:tc>
          <w:tcPr>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支持对OWASP Top攻击进行安全防护，支持包括XSS、SQL注入、命令注入、代码注入、远程溢出攻击、Webshell检测（上传木马）等。</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659" w:type="pct"/>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支持CC防御，支持基于IP/Cookie/Referer的源和目的限速，限速的防护动作至少要支持设置验证码、动态阻断IP/用户一段时间，限速的响应页面支持用户自定义。</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659" w:type="pct"/>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支持恶意扫描防护，至少包括防爬虫、防扫描工具恶意扫描、防应用扫描。</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left w:val="single" w:color="auto" w:sz="4" w:space="0"/>
              <w:bottom w:val="single" w:color="auto" w:sz="4" w:space="0"/>
              <w:right w:val="single" w:color="auto" w:sz="4" w:space="0"/>
            </w:tcBorders>
            <w:tcW w:w="659" w:type="pct"/>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支持自定义IP黑白名单、精准访问防护规则。</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none" w:color="000000"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日志审计</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支持记录防护日志，日志中至少包括攻击发生时间、源站IP、域名、URL、事件类型、防护动作等信息，支持按照攻击事件、命中规则、防护动作、源站IP、URL等多维度条件查询防护日志。</w:t>
            </w:r>
            <w:r/>
          </w:p>
        </w:tc>
      </w:tr>
      <w:tr>
        <w:trPr>
          <w:jc w:val="center"/>
        </w:trPr>
        <w:tc>
          <w:tcPr>
            <w:tcBorders>
              <w:left w:val="single" w:color="auto" w:sz="4" w:space="0"/>
              <w:right w:val="single" w:color="auto" w:sz="4" w:space="0"/>
            </w:tcBorders>
            <w:tcW w:w="651" w:type="pct"/>
            <w:vAlign w:val="center"/>
            <w:vMerge w:val="restart"/>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堡垒机</w:t>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权限控制</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支持按照用户、用户组、资源账户、账户组，建立用户对资源的访问控制授权，支持通过配置访问控制策略、双人授权、命令控制策略实现对资源不同维度的控制。</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账户管理</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支持自动改密，可设置改密策略的执行时间和改密方式，支持手动、定时和周期的执行方式，支持改密日志查看与下载。</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远程运维</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支持对Linux命令审计、Windows操作审计全程录像记录，回放录像视频可自动过滤空闲时间。支持生成视频文件，一键下载会话视频。</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运维审计</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支持将历史会话日志远程备份至Syslog服务器、FTP/SFTP服务器，实现系统日志备份。</w:t>
            </w:r>
            <w:r/>
          </w:p>
        </w:tc>
      </w:tr>
      <w:tr>
        <w:trPr>
          <w:jc w:val="center"/>
        </w:trPr>
        <w:tc>
          <w:tcPr>
            <w:tcBorders>
              <w:left w:val="single" w:color="auto" w:sz="4" w:space="0"/>
              <w:right w:val="single" w:color="auto" w:sz="4" w:space="0"/>
            </w:tcBorders>
            <w:tcW w:w="651" w:type="pct"/>
            <w:vAlign w:val="center"/>
            <w:vMerge w:val="restart"/>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主机安全</w:t>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漏洞管理</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支持检测平台侧主机软件漏洞，漏洞信息显示包括漏洞名称、风险程度、漏洞描述、修复建议和漏洞详情，漏洞处置一般包括忽略、取消忽略、验证等。</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基线检查</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支持口令复杂度策略检测，并使用弱口令字典对系统帐户进行扫描，检测出弱口令后展示弱口令存在时长并提示用户修改。</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right w:val="single" w:color="auto" w:sz="4" w:space="0"/>
            </w:tcBorders>
            <w:tcW w:w="659" w:type="pct"/>
            <w:vAlign w:val="center"/>
            <w:vMerge w:val="restart"/>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入侵检测</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支持口令复杂度策略检测，并使用弱口令字典对系统帐户进行扫描，检测出弱口令后展示弱口令存在时长并提示用户修改。</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left w:val="single" w:color="auto" w:sz="4" w:space="0"/>
              <w:bottom w:val="single" w:color="auto" w:sz="4" w:space="0"/>
              <w:right w:val="single" w:color="auto" w:sz="4" w:space="0"/>
            </w:tcBorders>
            <w:tcW w:w="659" w:type="pct"/>
            <w:vAlign w:val="center"/>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支持基于等保要求进行风险配置检测，识别不安全配置，给出修改建议。</w:t>
            </w:r>
            <w:r/>
          </w:p>
        </w:tc>
      </w:tr>
      <w:tr>
        <w:trPr>
          <w:jc w:val="center"/>
        </w:trPr>
        <w:tc>
          <w:tcPr>
            <w:tcBorders>
              <w:left w:val="single" w:color="auto" w:sz="4" w:space="0"/>
              <w:right w:val="single" w:color="auto" w:sz="4" w:space="0"/>
            </w:tcBorders>
            <w:tcW w:w="651" w:type="pct"/>
            <w:vAlign w:val="center"/>
            <w:vMerge w:val="restart"/>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日志审计</w:t>
            </w:r>
            <w:r/>
          </w:p>
        </w:tc>
        <w:tc>
          <w:tcPr>
            <w:shd w:val="clear" w:color="auto" w:fill="ffffff"/>
            <w:tcBorders>
              <w:top w:val="single" w:color="auto" w:sz="4" w:space="0"/>
              <w:left w:val="single" w:color="auto" w:sz="4" w:space="0"/>
              <w:right w:val="single" w:color="auto" w:sz="4" w:space="0"/>
            </w:tcBorders>
            <w:tcW w:w="659" w:type="pct"/>
            <w:vAlign w:val="center"/>
            <w:vMerge w:val="restart"/>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日志采集</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支持采集日志、告警、漏洞等安全数据，对安全数据可自动化租户和资源标识，方便按照租户维度进行审计和分析。</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left w:val="single" w:color="auto" w:sz="4" w:space="0"/>
              <w:bottom w:val="single" w:color="auto" w:sz="4" w:space="0"/>
              <w:right w:val="single" w:color="auto" w:sz="4" w:space="0"/>
            </w:tcBorders>
            <w:tcW w:w="659" w:type="pct"/>
            <w:vAlign w:val="center"/>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多种安全日志数据源接入的方式，如TCP、UDP、KAFKA、OBS、Pipe、File等。支持多种日志格式解析，如json、prune、KeyValue、csv、UUID、mutate、grok、date、drop等，此外对于用户自定义的格式，还支持正则表达式匹配和解析。</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日志保留</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支持日志完整保留180天，满足等保审计对保留时长的要求。</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日志导出</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支持将采集到的日志，通过Kafka、TCP、UDP、File、Obs、Pipe转发至外部的日志审计或者安全运营平台。</w:t>
            </w:r>
            <w:r/>
          </w:p>
        </w:tc>
      </w:tr>
      <w:tr>
        <w:trPr>
          <w:jc w:val="center"/>
        </w:trPr>
        <w:tc>
          <w:tcPr>
            <w:tcBorders>
              <w:left w:val="single" w:color="auto" w:sz="4" w:space="0"/>
              <w:right w:val="single" w:color="auto" w:sz="4" w:space="0"/>
            </w:tcBorders>
            <w:tcW w:w="651" w:type="pct"/>
            <w:vAlign w:val="center"/>
            <w:vMerge w:val="restart"/>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数据库审计</w:t>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基本功能</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支持实时记录用户访问平台数据库行为，形成细粒度的审计报告，对风险行为和攻击行为进行实时告警。</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合规报告</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支持生成合规报告，对数据库的内部违规和不正当操作进行定位追责，保障数据资产安全。</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right w:val="single" w:color="auto" w:sz="4" w:space="0"/>
            </w:tcBorders>
            <w:tcW w:w="659" w:type="pct"/>
            <w:vAlign w:val="center"/>
            <w:vMerge w:val="restart"/>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审计数据</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实时审计用户对数据库系统所有操作（插入、删除、更新、用户自定义操作等），还原SQL操作命令包括源IP地址、目的IP地址、访问时间、用户名、客户端程序名、数据库操作类型、数据库表名、字段名、字段值、数据库响应时间、返回行数、返回码等信息。</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left w:val="single" w:color="auto" w:sz="4" w:space="0"/>
              <w:bottom w:val="single" w:color="auto" w:sz="4" w:space="0"/>
              <w:right w:val="single" w:color="auto" w:sz="4" w:space="0"/>
            </w:tcBorders>
            <w:tcW w:w="659" w:type="pct"/>
            <w:vAlign w:val="center"/>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支持展示会话的终端信息、会话的主机信息、会话的其它信息、操作信息等。审计日志至少保留180天。</w:t>
            </w:r>
            <w:r/>
          </w:p>
        </w:tc>
      </w:tr>
      <w:tr>
        <w:trPr>
          <w:jc w:val="center"/>
        </w:trPr>
        <w:tc>
          <w:tcPr>
            <w:tcBorders>
              <w:left w:val="single" w:color="auto" w:sz="4" w:space="0"/>
              <w:right w:val="single" w:color="auto" w:sz="4" w:space="0"/>
            </w:tcBorders>
            <w:tcW w:w="651" w:type="pct"/>
            <w:vAlign w:val="center"/>
            <w:vMerge w:val="restart"/>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漏洞扫描</w:t>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操作系统漏洞扫描</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支持操作系统漏洞扫描，支持CentOS、RedHat、openSUSE15、SUSE、UOS V20、HCE2.0、EulerOS、KylinOS、Debian、Ubuntu、Windows Server</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right w:val="single" w:color="auto" w:sz="4" w:space="0"/>
            </w:tcBorders>
            <w:tcW w:w="659" w:type="pct"/>
            <w:vAlign w:val="center"/>
            <w:vMerge w:val="restart"/>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操作系统基线扫描</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支持系统安全配置核查功能，能够对主流操作系统、中间件的安全配置项目进行检查、报告，支持常见Linux系统（CentOS、RedHat、openSUSE15、SUSE、UOS V20、HCE2.0、EulerOS、KylinOS、Ubuntu），中间件Apache、Tomcat、Nginx等。</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left w:val="single" w:color="auto" w:sz="4" w:space="0"/>
              <w:bottom w:val="single" w:color="auto" w:sz="4" w:space="0"/>
              <w:right w:val="single" w:color="auto" w:sz="4" w:space="0"/>
            </w:tcBorders>
            <w:tcW w:w="659" w:type="pct"/>
            <w:vAlign w:val="center"/>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支持等保合规基线检查。</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漏洞库</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支持漏洞库管理功能，支持漏洞库离线更新，可展示漏洞库版本信息、更新时间等信息。</w:t>
            </w:r>
            <w:r/>
          </w:p>
        </w:tc>
      </w:tr>
      <w:tr>
        <w:trPr>
          <w:jc w:val="center"/>
        </w:trPr>
        <w:tc>
          <w:tcPr>
            <w:tcBorders>
              <w:left w:val="single" w:color="auto" w:sz="4" w:space="0"/>
              <w:right w:val="single" w:color="auto" w:sz="4" w:space="0"/>
            </w:tcBorders>
            <w:tcW w:w="651" w:type="pct"/>
            <w:vAlign w:val="center"/>
            <w:vMerge w:val="restart"/>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流量检测与响应</w:t>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全流量检测</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支持大流量检测，支持典型应用协议识别</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行为审计</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支持常见典型攻击的识别与防御，如：爆破、扫描、Web攻击、Webshell、反弹shell、恶意程序、异常连接、异常协议、数据泄密等。</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安全策略</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支持工作模式设置，其中包括观察模式、拦截模式。</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特征情报库</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支持特征规则引擎、行为分析引擎、机器学习引擎以及权威的第三方特征规则库，可根据需要随时加载离线更新包，提高安全检出率和准确率。</w:t>
            </w:r>
            <w:r/>
          </w:p>
        </w:tc>
      </w:tr>
      <w:tr>
        <w:trPr>
          <w:jc w:val="center"/>
        </w:trPr>
        <w:tc>
          <w:tcPr>
            <w:tcBorders>
              <w:left w:val="single" w:color="auto" w:sz="4" w:space="0"/>
              <w:right w:val="single" w:color="auto" w:sz="4" w:space="0"/>
            </w:tcBorders>
            <w:tcW w:w="651" w:type="pct"/>
            <w:vAlign w:val="center"/>
            <w:vMerge w:val="continue"/>
            <w:textDirection w:val="lrTb"/>
            <w:noWrap w:val="false"/>
          </w:tcPr>
          <w:p>
            <w:pPr>
              <w:ind w:left="0"/>
              <w:widowControl w:val="off"/>
              <w:rPr>
                <w:rFonts w:ascii="宋体" w:hAnsi="宋体" w:cs="仿宋_GB2312"/>
                <w:sz w:val="21"/>
                <w:szCs w:val="21"/>
              </w:rPr>
            </w:pPr>
            <w:r>
              <w:rPr>
                <w:rFonts w:ascii="宋体" w:hAnsi="宋体" w:cs="仿宋_GB2312"/>
                <w:sz w:val="21"/>
                <w:szCs w:val="21"/>
              </w:rPr>
            </w:r>
            <w:r/>
          </w:p>
        </w:tc>
        <w:tc>
          <w:tcPr>
            <w:shd w:val="clear" w:color="auto" w:fill="ffffff"/>
            <w:tcBorders>
              <w:top w:val="single" w:color="auto" w:sz="4" w:space="0"/>
              <w:left w:val="single" w:color="auto" w:sz="4" w:space="0"/>
              <w:bottom w:val="single" w:color="auto" w:sz="4" w:space="0"/>
              <w:right w:val="single" w:color="auto" w:sz="4" w:space="0"/>
            </w:tcBorders>
            <w:tcW w:w="659" w:type="pct"/>
            <w:vAlign w:val="center"/>
            <w:textDirection w:val="lrTb"/>
            <w:noWrap w:val="false"/>
          </w:tcPr>
          <w:p>
            <w:pPr>
              <w:ind w:left="0"/>
              <w:jc w:val="center"/>
              <w:widowControl/>
              <w:rPr>
                <w:rFonts w:ascii="宋体" w:hAnsi="宋体" w:cs="仿宋_GB2312"/>
                <w:sz w:val="21"/>
                <w:szCs w:val="21"/>
              </w:rPr>
            </w:pPr>
            <w:r>
              <w:rPr>
                <w:rFonts w:hint="eastAsia" w:ascii="宋体" w:hAnsi="宋体" w:cs="仿宋_GB2312"/>
                <w:sz w:val="21"/>
                <w:szCs w:val="21"/>
              </w:rPr>
              <w:t xml:space="preserve">威胁情报集成</w:t>
            </w:r>
            <w:r/>
          </w:p>
        </w:tc>
        <w:tc>
          <w:tcPr>
            <w:shd w:val="clear" w:color="auto" w:fill="ffffff"/>
            <w:tcBorders>
              <w:top w:val="single" w:color="auto" w:sz="4" w:space="0"/>
              <w:left w:val="single" w:color="auto" w:sz="4" w:space="0"/>
              <w:bottom w:val="single" w:color="auto" w:sz="4" w:space="0"/>
              <w:right w:val="single" w:color="auto" w:sz="4" w:space="0"/>
            </w:tcBorders>
            <w:tcW w:w="3690" w:type="pct"/>
            <w:vAlign w:val="center"/>
            <w:textDirection w:val="lrTb"/>
            <w:noWrap w:val="false"/>
          </w:tcPr>
          <w:p>
            <w:pPr>
              <w:ind w:left="0"/>
              <w:widowControl w:val="off"/>
              <w:rPr>
                <w:rFonts w:ascii="宋体" w:hAnsi="宋体" w:cs="仿宋_GB2312"/>
                <w:sz w:val="21"/>
                <w:szCs w:val="21"/>
              </w:rPr>
            </w:pPr>
            <w:r>
              <w:rPr>
                <w:rFonts w:hint="eastAsia" w:ascii="宋体" w:hAnsi="宋体" w:cs="仿宋_GB2312"/>
                <w:sz w:val="21"/>
                <w:szCs w:val="21"/>
              </w:rPr>
              <w:t xml:space="preserve">支持地理位置信息库，方便客户通过地理位置判断攻击源；可根据需要随时加载离线更新包，及时获取最新情报信息，辅助快速研判攻击。</w:t>
            </w:r>
            <w:r/>
          </w:p>
        </w:tc>
      </w:tr>
    </w:tbl>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2.</w:t>
      </w:r>
      <w:r>
        <w:rPr>
          <w:rFonts w:hint="eastAsia" w:ascii="宋体" w:hAnsi="宋体"/>
          <w:b/>
          <w:bCs/>
          <w:sz w:val="21"/>
          <w:szCs w:val="21"/>
        </w:rPr>
        <w:t xml:space="preserve">云平台密评安全要求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2.1.</w:t>
      </w:r>
      <w:r>
        <w:rPr>
          <w:rFonts w:hint="eastAsia" w:ascii="宋体" w:hAnsi="宋体"/>
          <w:b/>
          <w:bCs/>
          <w:sz w:val="21"/>
          <w:szCs w:val="21"/>
        </w:rPr>
        <w:t xml:space="preserve">功能要求</w:t>
      </w:r>
      <w:r>
        <w:rPr>
          <w:rFonts w:ascii="宋体" w:hAnsi="宋体"/>
          <w:b/>
          <w:bCs/>
          <w:sz w:val="21"/>
          <w:szCs w:val="21"/>
        </w:rPr>
        <w:t xml:space="preserve"> </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围绕《国家政务信息化项目建设管理办法》中关于政务信息系统在系统规划阶段的密码应用要求，综合考虑云平台系统物理和环境、</w:t>
      </w:r>
      <w:r>
        <w:rPr>
          <w:rFonts w:hint="eastAsia" w:ascii="宋体" w:hAnsi="宋体" w:cs="仿宋_GB2312"/>
          <w:sz w:val="21"/>
          <w:szCs w:val="21"/>
        </w:rPr>
        <w:t xml:space="preserve">网络和通信、设备和计算、应用和数据、安全管理等层面的密码应用需求，需设计合规、正确、有效的云平台系统密码应用方案，满足GB/T 39786-2021《信息安全技术 信息系统密码应用基本要求》中三级指标要求，并为通过密码应用安全性评估奠定基础。从终端安全密码应用、网络接入安全、云计算平台、密码支撑平台、业务密码应用等方面进行密码安全能力建设与应用改造，最终保障云平台系统在身份识别、安全隔离、信息加密、完整性保护等方面的密码防护，为云平台系统的安全可靠运行提供全面高效的密码支撑，满足国家云平台密评三级建设标准。</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2.2.</w:t>
      </w:r>
      <w:r>
        <w:rPr>
          <w:rFonts w:hint="eastAsia" w:ascii="宋体" w:hAnsi="宋体"/>
          <w:b/>
          <w:bCs/>
          <w:sz w:val="21"/>
          <w:szCs w:val="21"/>
        </w:rPr>
        <w:t xml:space="preserve">技术要求</w:t>
      </w:r>
      <w:r/>
    </w:p>
    <w:p>
      <w:pPr>
        <w:ind w:left="120" w:firstLine="420"/>
        <w:spacing w:line="360" w:lineRule="auto"/>
        <w:rPr>
          <w:rFonts w:ascii="宋体" w:hAnsi="宋体" w:cs="仿宋_GB2312"/>
          <w:sz w:val="21"/>
          <w:szCs w:val="21"/>
        </w:rPr>
      </w:pPr>
      <w:r>
        <w:rPr>
          <w:rFonts w:hint="eastAsia" w:ascii="宋体" w:hAnsi="宋体" w:cs="仿宋_GB2312"/>
          <w:sz w:val="21"/>
          <w:szCs w:val="21"/>
        </w:rPr>
        <w:t xml:space="preserve">整体密评方案包含用户侧、网络侧与云计算平台改造几个部分，包含用户侧商密浏览器、USB-KEY的使用，网络侧访问路径加密SSL VPN网关，堡垒机运维认证鉴权+审计，云计算平台改造通过密码机提供密钥与证书签发，为云上安全组件进行密码改造以符合国家密评需求。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结合项目密码应用需求，密码应用总体架构包括五部分内容：终端安全密码应用、网络接入安全、云计算平台、密码支撑平台、业务密码应用。云平台密码应用技术架构如下图所示：</w:t>
      </w:r>
      <w:r/>
    </w:p>
    <w:p>
      <w:pPr>
        <w:spacing w:line="360" w:lineRule="auto"/>
        <w:widowControl w:val="off"/>
        <w:rPr>
          <w:rFonts w:ascii="Times New Roman" w:hAnsi="Times New Roman" w:eastAsia="仿宋_GB2312" w:cs="Times New Roman"/>
          <w:sz w:val="24"/>
          <w:szCs w:val="24"/>
        </w:rPr>
      </w:pPr>
      <w:r>
        <w:rPr>
          <w:rFonts w:ascii="Times New Roman" w:hAnsi="Times New Roman" w:eastAsia="仿宋_GB2312" w:cs="Arial"/>
          <w:sz w:val="24"/>
          <w:szCs w:val="24"/>
        </w:rPr>
        <mc:AlternateContent>
          <mc:Choice Requires="wpg">
            <w:drawing>
              <wp:inline xmlns:wp="http://schemas.openxmlformats.org/drawingml/2006/wordprocessingDrawing" distT="0" distB="0" distL="0" distR="0">
                <wp:extent cx="5274310" cy="2741930"/>
                <wp:effectExtent l="0" t="0" r="13970" b="1270"/>
                <wp:docPr id="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16"/>
                        <a:stretch/>
                      </pic:blipFill>
                      <pic:spPr bwMode="auto">
                        <a:xfrm>
                          <a:off x="0" y="0"/>
                          <a:ext cx="5274310" cy="2742073"/>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3pt;height:215.9pt;mso-wrap-distance-left:0.0pt;mso-wrap-distance-top:0.0pt;mso-wrap-distance-right:0.0pt;mso-wrap-distance-bottom:0.0pt;" stroked="false">
                <v:path textboxrect="0,0,0,0"/>
                <v:imagedata r:id="rId16" o:title=""/>
              </v:shape>
            </w:pict>
          </mc:Fallback>
        </mc:AlternateContent>
      </w:r>
      <w:r/>
    </w:p>
    <w:p>
      <w:pPr>
        <w:numPr>
          <w:ilvl w:val="0"/>
          <w:numId w:val="7"/>
        </w:numPr>
        <w:spacing w:line="360" w:lineRule="auto"/>
        <w:widowControl w:val="off"/>
        <w:rPr>
          <w:rFonts w:ascii="宋体" w:hAnsi="宋体" w:cs="仿宋_GB2312"/>
          <w:sz w:val="21"/>
          <w:szCs w:val="21"/>
        </w:rPr>
      </w:pPr>
      <w:r>
        <w:rPr>
          <w:rFonts w:hint="eastAsia" w:ascii="宋体" w:hAnsi="宋体" w:cs="仿宋_GB2312"/>
          <w:sz w:val="21"/>
          <w:szCs w:val="21"/>
        </w:rPr>
        <w:t xml:space="preserve">客户端：主要包含商密浏览器、智能密码钥匙等终端接入所需身份鉴别、链路防护的组件；</w:t>
      </w:r>
      <w:r/>
    </w:p>
    <w:p>
      <w:pPr>
        <w:numPr>
          <w:ilvl w:val="0"/>
          <w:numId w:val="7"/>
        </w:numPr>
        <w:spacing w:line="360" w:lineRule="auto"/>
        <w:widowControl w:val="off"/>
        <w:rPr>
          <w:rFonts w:ascii="宋体" w:hAnsi="宋体" w:cs="仿宋_GB2312"/>
          <w:sz w:val="21"/>
          <w:szCs w:val="21"/>
        </w:rPr>
      </w:pPr>
      <w:r>
        <w:rPr>
          <w:rFonts w:hint="eastAsia" w:ascii="宋体" w:hAnsi="宋体" w:cs="仿宋_GB2312"/>
          <w:sz w:val="21"/>
          <w:szCs w:val="21"/>
        </w:rPr>
        <w:t xml:space="preserve">网络层：通过SSL VPN网关或堡垒机主要进行可信接入认证、链路安全传输、访问控制等；</w:t>
      </w:r>
      <w:r/>
    </w:p>
    <w:p>
      <w:pPr>
        <w:numPr>
          <w:ilvl w:val="0"/>
          <w:numId w:val="7"/>
        </w:numPr>
        <w:spacing w:line="360" w:lineRule="auto"/>
        <w:widowControl w:val="off"/>
        <w:rPr>
          <w:rFonts w:ascii="宋体" w:hAnsi="宋体" w:cs="仿宋_GB2312"/>
          <w:sz w:val="21"/>
          <w:szCs w:val="21"/>
        </w:rPr>
      </w:pPr>
      <w:r>
        <w:rPr>
          <w:rFonts w:hint="eastAsia" w:ascii="宋体" w:hAnsi="宋体" w:cs="仿宋_GB2312"/>
          <w:sz w:val="21"/>
          <w:szCs w:val="21"/>
        </w:rPr>
        <w:t xml:space="preserve">3）云平台安全：基于硬件密码机提供密码所需的密钥、证书等密码资源与管理软件，包括密钥管理服务、证书签发服务密码服务平台等，实现对外部接入云平台基于数字证书的用户身份鉴别、传输链路安全、口令保护等，同时需解决服务内部重要数据的完整性保护、存储加密、密钥管理、证书管理等。</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2.3.</w:t>
      </w:r>
      <w:r>
        <w:rPr>
          <w:rFonts w:hint="eastAsia" w:ascii="宋体" w:hAnsi="宋体"/>
          <w:b/>
          <w:bCs/>
          <w:sz w:val="21"/>
          <w:szCs w:val="21"/>
        </w:rPr>
        <w:t xml:space="preserve">参数要求</w:t>
      </w:r>
      <w:r/>
    </w:p>
    <w:tbl>
      <w:tblPr>
        <w:tblStyle w:val="10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49"/>
        <w:gridCol w:w="1460"/>
        <w:gridCol w:w="7285"/>
      </w:tblGrid>
      <w:tr>
        <w:trPr/>
        <w:tc>
          <w:tcPr>
            <w:tcBorders>
              <w:top w:val="single" w:color="auto" w:sz="4" w:space="0"/>
              <w:left w:val="single" w:color="auto" w:sz="4" w:space="0"/>
              <w:bottom w:val="single" w:color="auto" w:sz="4" w:space="0"/>
              <w:right w:val="single" w:color="auto" w:sz="4" w:space="0"/>
            </w:tcBorders>
            <w:tcW w:w="580" w:type="pct"/>
            <w:textDirection w:val="lrTb"/>
            <w:noWrap w:val="false"/>
          </w:tcPr>
          <w:p>
            <w:pPr>
              <w:ind w:left="0"/>
              <w:jc w:val="center"/>
              <w:spacing w:line="360" w:lineRule="auto"/>
              <w:widowControl w:val="off"/>
              <w:rPr>
                <w:rFonts w:ascii="宋体" w:hAnsi="宋体" w:cs="仿宋_GB2312"/>
                <w:b/>
                <w:sz w:val="21"/>
                <w:szCs w:val="21"/>
              </w:rPr>
            </w:pPr>
            <w:r>
              <w:rPr>
                <w:rFonts w:hint="eastAsia" w:ascii="宋体" w:hAnsi="宋体" w:cs="仿宋_GB2312"/>
                <w:b/>
                <w:sz w:val="21"/>
                <w:szCs w:val="21"/>
                <w:lang w:bidi="ar"/>
              </w:rPr>
              <w:t xml:space="preserve">指标项</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left="0"/>
              <w:jc w:val="center"/>
              <w:spacing w:line="360" w:lineRule="auto"/>
              <w:widowControl w:val="off"/>
              <w:rPr>
                <w:rFonts w:ascii="宋体" w:hAnsi="宋体" w:cs="仿宋_GB2312"/>
                <w:b/>
                <w:sz w:val="21"/>
                <w:szCs w:val="21"/>
              </w:rPr>
            </w:pPr>
            <w:r>
              <w:rPr>
                <w:rFonts w:hint="eastAsia" w:ascii="宋体" w:hAnsi="宋体" w:cs="仿宋_GB2312"/>
                <w:b/>
                <w:sz w:val="21"/>
                <w:szCs w:val="21"/>
                <w:lang w:bidi="ar"/>
              </w:rPr>
              <w:t xml:space="preserve">细分项</w:t>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jc w:val="center"/>
              <w:spacing w:line="360" w:lineRule="auto"/>
              <w:widowControl w:val="off"/>
              <w:rPr>
                <w:rFonts w:ascii="宋体" w:hAnsi="宋体" w:cs="仿宋_GB2312"/>
                <w:b/>
                <w:sz w:val="21"/>
                <w:szCs w:val="21"/>
              </w:rPr>
            </w:pPr>
            <w:r>
              <w:rPr>
                <w:rFonts w:hint="eastAsia" w:ascii="宋体" w:hAnsi="宋体" w:cs="仿宋_GB2312"/>
                <w:b/>
                <w:sz w:val="21"/>
                <w:szCs w:val="21"/>
                <w:lang w:bidi="ar"/>
              </w:rPr>
              <w:t xml:space="preserve">技术参数要求</w:t>
            </w:r>
            <w:r/>
          </w:p>
        </w:tc>
      </w:tr>
      <w:tr>
        <w:trPr/>
        <w:tc>
          <w:tcPr>
            <w:tcBorders>
              <w:top w:val="none" w:color="000000" w:sz="4" w:space="0"/>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sz w:val="21"/>
                <w:szCs w:val="21"/>
              </w:rPr>
            </w:pPr>
            <w:r>
              <w:rPr>
                <w:rFonts w:hint="eastAsia" w:ascii="宋体" w:hAnsi="宋体" w:cs="仿宋_GB2312"/>
                <w:bCs/>
                <w:sz w:val="21"/>
                <w:szCs w:val="21"/>
                <w:lang w:bidi="ar"/>
              </w:rPr>
              <w:t xml:space="preserve">国密浏览器</w:t>
            </w:r>
            <w:r/>
          </w:p>
        </w:tc>
        <w:tc>
          <w:tcPr>
            <w:tcBorders>
              <w:top w:val="none" w:color="000000" w:sz="4" w:space="0"/>
              <w:left w:val="single" w:color="auto" w:sz="4" w:space="0"/>
              <w:right w:val="single" w:color="auto" w:sz="4" w:space="0"/>
            </w:tcBorders>
            <w:tcW w:w="738" w:type="pct"/>
            <w:vAlign w:val="center"/>
            <w:vMerge w:val="restart"/>
            <w:textDirection w:val="lrTb"/>
            <w:noWrap w:val="false"/>
          </w:tcPr>
          <w:p>
            <w:pPr>
              <w:ind w:left="0" w:firstLine="1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功能要求</w:t>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rPr>
            </w:pPr>
            <w:r>
              <w:rPr>
                <w:rFonts w:hint="eastAsia" w:ascii="宋体" w:hAnsi="宋体" w:cs="仿宋_GB2312"/>
                <w:bCs/>
                <w:sz w:val="21"/>
                <w:szCs w:val="21"/>
                <w:lang w:bidi="ar"/>
              </w:rPr>
              <w:t xml:space="preserve">信创平台需支持龙芯、兆芯、海光、飞腾、鲲鹏、申威等主流国产CPU和统信UOS、银河麒麟、中科方德、深度、红旗、普华、一铭、万里红等主流国产操作系统。</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rPr>
            </w:pPr>
            <w:r>
              <w:rPr>
                <w:rFonts w:hint="eastAsia" w:ascii="宋体" w:hAnsi="宋体" w:cs="仿宋_GB2312"/>
                <w:bCs/>
                <w:sz w:val="21"/>
                <w:szCs w:val="21"/>
                <w:lang w:bidi="ar"/>
              </w:rPr>
              <w:t xml:space="preserve">支持页面解析、页面标签栏、标签栏支持标签分组、页面地址栏、书签栏、下载管理、登录密码自动保存、页面查找、网页内容字体自定义、页面缩放、页面恢复、超级拖拽、证书管理、扩展程序管理、网页静音、快捷键、鼠标手势、全屏模式、无痕浏览模式、新标签页背景个性化设置、新标签页自定义导航个数、网页翻译、保存网页为图片等功能，以上功能在信创平台和windows平台均需支持。</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可设定在指定时间、浏览器退出时或每天首次启动时自动清除上网痕迹：包含浏览记录，下载记录，Cookie及其它网站数据，页面缓存，保存的密码和其他登录数据，自动填充表单数据。</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提供查看源代码功能，可查看网页源代码；提供开发者工具，支持网页调试能力，包括：网页元素查看和修改，控制台输入输出，源代码查看和调试，网络请求分析，性能分析等。</w:t>
            </w:r>
            <w:r/>
          </w:p>
        </w:tc>
      </w:tr>
      <w:tr>
        <w:trPr/>
        <w:tc>
          <w:tcPr>
            <w:tcBorders>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智能密码钥匙</w:t>
            </w:r>
            <w:r/>
          </w:p>
        </w:tc>
        <w:tc>
          <w:tcPr>
            <w:tcBorders>
              <w:left w:val="single" w:color="auto" w:sz="4" w:space="0"/>
              <w:right w:val="single" w:color="auto" w:sz="4" w:space="0"/>
            </w:tcBorders>
            <w:tcW w:w="738" w:type="pct"/>
            <w:vAlign w:val="center"/>
            <w:vMerge w:val="restart"/>
            <w:textDirection w:val="lrTb"/>
            <w:noWrap w:val="false"/>
          </w:tcPr>
          <w:p>
            <w:pPr>
              <w:ind w:left="0" w:firstLine="10"/>
              <w:jc w:val="center"/>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功能要求</w:t>
            </w:r>
            <w:r/>
          </w:p>
        </w:tc>
        <w:tc>
          <w:tcPr>
            <w:tcBorders>
              <w:top w:val="single" w:color="auto" w:sz="4" w:space="0"/>
              <w:left w:val="single" w:color="auto" w:sz="4" w:space="0"/>
              <w:bottom w:val="single" w:color="auto" w:sz="4" w:space="0"/>
              <w:right w:val="single" w:color="auto" w:sz="4" w:space="0"/>
            </w:tcBorders>
            <w:tcW w:w="3682"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支持国产操作系统（统信UOS、麒麟系统等）、Windows、Linux等。</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Merge w:val="continue"/>
            <w:textDirection w:val="lrTb"/>
            <w:noWrap w:val="false"/>
          </w:tcPr>
          <w:p>
            <w:pPr>
              <w:ind w:left="0" w:firstLine="42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支持内置安全算法：SM1、SM2、SM3、SM4、RSA（1024/2048）、 SHA-1、SHA-256 、SHA-384 、SHA-512、DES、3DES。</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Merge w:val="continue"/>
            <w:textDirection w:val="lrTb"/>
            <w:noWrap w:val="false"/>
          </w:tcPr>
          <w:p>
            <w:pPr>
              <w:ind w:left="0" w:firstLine="42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支持的标准：GM/T 0027《智能密码钥匙密码应用接口规范》、MS CAPI、X.509 v3 证书存储、SSL v3、 IPSec、兼容ISO 7816</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支持通讯协议：HID / SCSI</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Align w:val="center"/>
            <w:vMerge w:val="restart"/>
            <w:textDirection w:val="lrTb"/>
            <w:noWrap w:val="false"/>
          </w:tcPr>
          <w:p>
            <w:pPr>
              <w:ind w:left="0" w:firstLine="10"/>
              <w:jc w:val="center"/>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性能指标</w:t>
            </w:r>
            <w:r/>
          </w:p>
        </w:tc>
        <w:tc>
          <w:tcPr>
            <w:tcBorders>
              <w:top w:val="single" w:color="auto" w:sz="4" w:space="0"/>
              <w:left w:val="single" w:color="auto" w:sz="4" w:space="0"/>
              <w:bottom w:val="single" w:color="auto" w:sz="4" w:space="0"/>
              <w:right w:val="single" w:color="auto" w:sz="4" w:space="0"/>
            </w:tcBorders>
            <w:tcW w:w="3682"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数据存储年限至少 10年</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室温下Flash擦写次数量最少为10万次</w:t>
            </w:r>
            <w:r/>
          </w:p>
        </w:tc>
      </w:tr>
      <w:tr>
        <w:trPr/>
        <w:tc>
          <w:tcPr>
            <w:tcBorders>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SSL VPN</w:t>
            </w:r>
            <w:r/>
          </w:p>
        </w:tc>
        <w:tc>
          <w:tcPr>
            <w:tcBorders>
              <w:left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产品资质</w:t>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使用的产品通过国家密码局认证，并符合GM/T 0028-2014《密码模块安全技术要求》安全等级二级要求。</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算法支持</w:t>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支持SM2、SM3、SM4国密算法,支持2048和4096位RSA、AES、SHA256国际算法；</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支持国密标准SSL协议GMTLSv1.1，同时支持国际算法套件及国密算法套件，支持 SSL3.0、 TLSv1.0/v1.1/v1.2/v1.3</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支持单双向SSL配置；</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功能支持</w:t>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支持记录系统日志、访问日志、管理日志和错误日志，支持配置日志输出格式，支持Syslog方式输出日志，支持以短信、邮件及日志方式对系统问题进行告警；</w:t>
            </w:r>
            <w:r/>
          </w:p>
        </w:tc>
      </w:tr>
      <w:tr>
        <w:trPr/>
        <w:tc>
          <w:tcPr>
            <w:tcBorders>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sz w:val="21"/>
                <w:szCs w:val="21"/>
              </w:rPr>
            </w:pPr>
            <w:r>
              <w:rPr>
                <w:rFonts w:hint="eastAsia" w:ascii="宋体" w:hAnsi="宋体" w:cs="仿宋_GB2312"/>
                <w:bCs/>
                <w:sz w:val="21"/>
                <w:szCs w:val="21"/>
                <w:lang w:bidi="ar"/>
              </w:rPr>
              <w:t xml:space="preserve">密码机</w:t>
            </w:r>
            <w:r/>
          </w:p>
        </w:tc>
        <w:tc>
          <w:tcPr>
            <w:tcBorders>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产品资质</w:t>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投标产品具备商用密码产品认证证书；</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投标产品具有计算机软件著作权登记证书；</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算法支持</w:t>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支持SM1、SM2、SM3、SM4国密算法；</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bottom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SM4对称算法加解密；3DES/AES国际对称算法加解密；支持SHA1、SHA256、SHA512、SM3杂凑算法；对称算法加解密支持ECB、CBC、OFB模式；</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功能要求</w:t>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密码机支持集群部署，并支持多机负载；</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基于白名单的访问控制，实现密码机对应用服务器的授权认证，提高了系统的安全性；</w:t>
            </w:r>
            <w:r/>
          </w:p>
        </w:tc>
      </w:tr>
      <w:tr>
        <w:trPr/>
        <w:tc>
          <w:tcPr>
            <w:tcBorders>
              <w:left w:val="single" w:color="auto" w:sz="4" w:space="0"/>
              <w:bottom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bottom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2"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密钥备份文件受备份密钥的加密保护；</w:t>
            </w:r>
            <w:r/>
          </w:p>
        </w:tc>
      </w:tr>
    </w:tbl>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3.</w:t>
      </w:r>
      <w:r>
        <w:rPr>
          <w:rFonts w:hint="eastAsia" w:ascii="宋体" w:hAnsi="宋体"/>
          <w:b/>
          <w:bCs/>
          <w:sz w:val="21"/>
          <w:szCs w:val="21"/>
        </w:rPr>
        <w:t xml:space="preserve">租户安全要求</w:t>
      </w:r>
      <w:r/>
    </w:p>
    <w:p>
      <w:pPr>
        <w:ind w:left="0" w:firstLine="420"/>
        <w:spacing w:line="360" w:lineRule="auto"/>
        <w:widowControl w:val="off"/>
        <w:rPr>
          <w:rFonts w:ascii="宋体" w:hAnsi="宋体" w:cs="Times New Roman"/>
          <w:sz w:val="21"/>
          <w:szCs w:val="21"/>
        </w:rPr>
      </w:pPr>
      <w:r>
        <w:rPr>
          <w:rFonts w:hint="eastAsia" w:ascii="宋体" w:hAnsi="宋体" w:cs="仿宋_GB2312"/>
          <w:sz w:val="21"/>
          <w:szCs w:val="21"/>
          <w:lang w:bidi="ar"/>
        </w:rPr>
        <w:t xml:space="preserve">为云上使用单位提供按需申请、独立使用的虚拟化安全组件服务，租户安全服务包括防火墙、主机安全、日志审计、堡垒机、WAF、数据库审计、网络检测与响应、漏洞扫描、密钥管理服务</w:t>
      </w:r>
      <w:r>
        <w:rPr>
          <w:rFonts w:hint="eastAsia" w:ascii="宋体" w:hAnsi="宋体" w:cs="仿宋_GB2312"/>
          <w:sz w:val="21"/>
          <w:szCs w:val="21"/>
        </w:rPr>
        <w:t xml:space="preserve">。</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3.1.</w:t>
      </w:r>
      <w:r>
        <w:rPr>
          <w:rFonts w:hint="eastAsia" w:ascii="宋体" w:hAnsi="宋体"/>
          <w:b/>
          <w:bCs/>
          <w:sz w:val="21"/>
          <w:szCs w:val="21"/>
        </w:rPr>
        <w:t xml:space="preserve">功能要求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安全资源池采用虚拟化与服务链技术，为使用单位提供云防护及云审计服务，动态生成独享的安全防护措施，并为使用单位提供灵活的配置和管理界面，实现使用单位云安全服务的差异化。使用单位可以按照自己的需求，选择购买符合自身安全需求的弹性云安全服务。</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3.2.</w:t>
      </w:r>
      <w:r>
        <w:rPr>
          <w:rFonts w:hint="eastAsia" w:ascii="宋体" w:hAnsi="宋体"/>
          <w:b/>
          <w:bCs/>
          <w:sz w:val="21"/>
          <w:szCs w:val="21"/>
        </w:rPr>
        <w:t xml:space="preserve">技术要求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（1）灵活安全能力独立部署</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安全资源池平台，实现租户的按需安全服务交付，支持租户按业务实际需求弹性订阅虚拟安全组件，并支持多组件灵活组合，满足三级等保需求；租户可在权限范围内自主定义防护策略，敏捷化安全编排，独立监控自身安全资源运行状态，满足业务快速迭代中的安全需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（2）边界安全隔离</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通过虚拟化防火墙组件，实现边界安全防护，通过监控网络流量，对数据包进行过滤和拦截，实现网络层的访问控制，防御外部威胁，同时隔离内外部网络，防止未授权访问，保障业务系统的边界安全。</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（3）Web应用防护</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通过Web应用防火墙，实现应用层的安全防护，支持应用层的全流量分析，精准检测SQL注入、XSS跨站脚本等攻击，覆盖蠕虫病毒、木马后门等恶意行为，保障应用层的边界安全。</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（4）日志审计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通过日志审计，实现合规审计与风险溯源，支持网络设备、服务器、数据库等全资产日志采集，按事件类别、级别进行智能分类与存储，提供自定义告警规则及可视化分析报表。</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（5）数据库审计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通过数据库审计的细粒度操作监控，实现数据库行为合规管控，支持主流数据库的接入解析，记录增删改查及权限变更操作，基于敏感数据访问规则触发实时告警，满足数据操作全生命周期审计合规要求。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（6）运维审计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要求能够对主流操作系统、B/S架构管理设备以及数据库进行权限管控及全链路操作记录，实现运维行为透明化管控，完整记录字符/图形终端操作信息（包括客户端IP、指令内容、审批流程等），防范高危误操作与恶意行为。</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（7）主机安全防护</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通过主机杀毒软件的安全防护，实现主机级纵深防护，提供病毒查杀、进程行为监控等功能，支持一键隔离受感染主机，防止病毒横向扩散，与其他安全组件联动，实现自动化响应。</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（8）远程接入访问</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通过VPN技术，实现端到端的远程安全接入，支持加密通道安全传输，集成多因素认证与细粒度权限控制。兼容PC、移动终端等多类型设备，保障远程接入场景下的身份可信、传输加密与应用权限合规。</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（9）高级威胁检测响应</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高级威胁检测响应平台，实现多源数据关联分析，聚合网端、终端日志及威胁情报，检测异常行为（如横向移动、隐蔽隧道）。提供攻击链可视化溯源与自动化处置建议（如隔离资产、阻断IP），缩短响应周期。</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（10）应用交付</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通过负载均衡，实现业务高可用性保障，支持多种负载算法，结合主动健康检查机制，降低后端服务器性能损耗，提升整体业务的稳定性。</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3.3.</w:t>
      </w:r>
      <w:r>
        <w:rPr>
          <w:rFonts w:hint="eastAsia" w:ascii="宋体" w:hAnsi="宋体"/>
          <w:b/>
          <w:bCs/>
          <w:sz w:val="21"/>
          <w:szCs w:val="21"/>
        </w:rPr>
        <w:t xml:space="preserve">参数要求</w:t>
      </w:r>
      <w:r/>
    </w:p>
    <w:tbl>
      <w:tblPr>
        <w:tblStyle w:val="10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149"/>
        <w:gridCol w:w="1460"/>
        <w:gridCol w:w="7285"/>
      </w:tblGrid>
      <w:tr>
        <w:trPr/>
        <w:tc>
          <w:tcPr>
            <w:tcBorders>
              <w:top w:val="single" w:color="auto" w:sz="4" w:space="0"/>
              <w:left w:val="single" w:color="auto" w:sz="4" w:space="0"/>
              <w:bottom w:val="single" w:color="auto" w:sz="4" w:space="0"/>
              <w:right w:val="single" w:color="auto" w:sz="4" w:space="0"/>
            </w:tcBorders>
            <w:tcW w:w="580" w:type="pct"/>
            <w:textDirection w:val="lrTb"/>
            <w:noWrap w:val="false"/>
          </w:tcPr>
          <w:p>
            <w:pPr>
              <w:ind w:left="0"/>
              <w:jc w:val="center"/>
              <w:spacing w:line="360" w:lineRule="auto"/>
              <w:widowControl w:val="off"/>
              <w:rPr>
                <w:rFonts w:ascii="宋体" w:hAnsi="宋体" w:cs="仿宋_GB2312"/>
                <w:b/>
                <w:sz w:val="21"/>
                <w:szCs w:val="21"/>
              </w:rPr>
            </w:pPr>
            <w:r>
              <w:rPr>
                <w:rFonts w:hint="eastAsia" w:ascii="宋体" w:hAnsi="宋体" w:cs="仿宋_GB2312"/>
                <w:b/>
                <w:sz w:val="21"/>
                <w:szCs w:val="21"/>
                <w:lang w:bidi="ar"/>
              </w:rPr>
              <w:t xml:space="preserve">指标项</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left="0"/>
              <w:jc w:val="center"/>
              <w:spacing w:line="360" w:lineRule="auto"/>
              <w:widowControl w:val="off"/>
              <w:rPr>
                <w:rFonts w:ascii="宋体" w:hAnsi="宋体" w:cs="仿宋_GB2312"/>
                <w:b/>
                <w:sz w:val="21"/>
                <w:szCs w:val="21"/>
              </w:rPr>
            </w:pPr>
            <w:r>
              <w:rPr>
                <w:rFonts w:hint="eastAsia" w:ascii="宋体" w:hAnsi="宋体" w:cs="仿宋_GB2312"/>
                <w:b/>
                <w:sz w:val="21"/>
                <w:szCs w:val="21"/>
                <w:lang w:bidi="ar"/>
              </w:rPr>
              <w:t xml:space="preserve">细分项</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jc w:val="center"/>
              <w:spacing w:line="360" w:lineRule="auto"/>
              <w:widowControl w:val="off"/>
              <w:rPr>
                <w:rFonts w:ascii="宋体" w:hAnsi="宋体" w:cs="仿宋_GB2312"/>
                <w:b/>
                <w:sz w:val="21"/>
                <w:szCs w:val="21"/>
              </w:rPr>
            </w:pPr>
            <w:r>
              <w:rPr>
                <w:rFonts w:hint="eastAsia" w:ascii="宋体" w:hAnsi="宋体" w:cs="仿宋_GB2312"/>
                <w:b/>
                <w:sz w:val="21"/>
                <w:szCs w:val="21"/>
                <w:lang w:bidi="ar"/>
              </w:rPr>
              <w:t xml:space="preserve">技术参数要求</w:t>
            </w:r>
            <w:r/>
          </w:p>
        </w:tc>
      </w:tr>
      <w:tr>
        <w:trPr/>
        <w:tc>
          <w:tcPr>
            <w:tcBorders>
              <w:top w:val="none" w:color="000000" w:sz="4" w:space="0"/>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sz w:val="21"/>
                <w:szCs w:val="21"/>
              </w:rPr>
            </w:pPr>
            <w:r>
              <w:rPr>
                <w:rFonts w:hint="eastAsia" w:ascii="宋体" w:hAnsi="宋体" w:cs="仿宋_GB2312"/>
                <w:bCs/>
                <w:sz w:val="21"/>
                <w:szCs w:val="21"/>
                <w:lang w:bidi="ar"/>
              </w:rPr>
              <w:t xml:space="preserve">防火墙</w:t>
            </w:r>
            <w:r/>
          </w:p>
        </w:tc>
        <w:tc>
          <w:tcPr>
            <w:tcBorders>
              <w:top w:val="none" w:color="000000" w:sz="4" w:space="0"/>
              <w:left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资产管理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rPr>
            </w:pPr>
            <w:r>
              <w:rPr>
                <w:rFonts w:hint="eastAsia" w:ascii="宋体" w:hAnsi="宋体" w:cs="仿宋_GB2312"/>
                <w:bCs/>
                <w:sz w:val="21"/>
                <w:szCs w:val="21"/>
                <w:lang w:bidi="ar"/>
              </w:rPr>
              <w:t xml:space="preserve">支持管理云内弹性公网IP到资产列表</w:t>
            </w:r>
            <w:r>
              <w:rPr>
                <w:rFonts w:hint="eastAsia" w:ascii="宋体" w:hAnsi="宋体" w:cs="仿宋_GB2312"/>
                <w:bCs/>
                <w:sz w:val="21"/>
                <w:szCs w:val="21"/>
              </w:rPr>
              <w:t xml:space="preserve"> </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访问控制</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rPr>
            </w:pPr>
            <w:r>
              <w:rPr>
                <w:rFonts w:hint="eastAsia" w:ascii="宋体" w:hAnsi="宋体" w:cs="仿宋_GB2312"/>
                <w:bCs/>
                <w:sz w:val="21"/>
                <w:szCs w:val="21"/>
                <w:lang w:bidi="ar"/>
              </w:rPr>
              <w:t xml:space="preserve">支持基于五元组、地址组、服务组、黑白名单设置访问控制策略。防护规则至少包含方向，源类型、源地址，目的类型、目的地址、服务类型、协议类型以及源端口、目的端口、IP地理位置等。黑/白名单支持地址方向、IP、端口、协议类型的设置。IP地址支持输入单个或多个IP地址，每次可解析100个IP地址。服务组支持按协议、源端口，目的端口设置与添加。支持预定义地址组和预定义服务组。</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支持基于域名/泛域名的访问控制，添加域名组支持URL过滤和地址解析两种类型。</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攻击防护</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支持针对Internet边界流量访问控制，同时控制入流量和出流量的访问。</w:t>
            </w:r>
            <w:r/>
          </w:p>
        </w:tc>
      </w:tr>
      <w:tr>
        <w:trPr/>
        <w:tc>
          <w:tcPr>
            <w:tcBorders>
              <w:left w:val="single" w:color="auto" w:sz="4" w:space="0"/>
              <w:bottom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bottom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支持入侵防御（IPS）功能，支持IPS签名信息展示（攻击类型、严重等级、影响范围等）和单条开关功能；支持检测模式与阻断模式。阻断模式支持严格、中等和宽松。支持反病毒功能。</w:t>
            </w:r>
            <w:r/>
          </w:p>
        </w:tc>
      </w:tr>
      <w:tr>
        <w:trPr/>
        <w:tc>
          <w:tcPr>
            <w:tcBorders>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主机安全</w:t>
            </w:r>
            <w:r/>
          </w:p>
        </w:tc>
        <w:tc>
          <w:tcPr>
            <w:tcBorders>
              <w:top w:val="single" w:color="auto" w:sz="4" w:space="0"/>
              <w:left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资产管理</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支持清点并展示主机账号权限、所属用户组、用户目录、启动Shell等信息；支持清点并展示进程路径、启动参数、文件权限、文件HASH、开放端口、软件版本等信息。</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漏洞管理</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支持检测常见操作系统、应用及应用相关三方件、Web-CMS漏洞。支持显示漏洞名称、风险程度、漏洞描述和漏洞详情，并提供修复建议和批量修复能力。</w:t>
            </w:r>
            <w:r/>
          </w:p>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支持口令复杂度策略检测，并使用弱口令字典对系统/应用帐户进行扫描，检测出弱口令后展示弱口令存在时长并提示用户修改，弱口令字典支持自定义。</w:t>
            </w:r>
            <w:r/>
          </w:p>
        </w:tc>
      </w:tr>
      <w:tr>
        <w:trPr/>
        <w:tc>
          <w:tcPr>
            <w:tcBorders>
              <w:left w:val="single" w:color="auto" w:sz="4" w:space="0"/>
              <w:bottom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运行安全检测</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支持检测口令破解攻击，可对识别出的攻击源IP封锁，禁止其再次登录，防止主机因账户破解被入侵。</w:t>
            </w:r>
            <w:r/>
          </w:p>
        </w:tc>
      </w:tr>
      <w:tr>
        <w:trPr/>
        <w:tc>
          <w:tcPr>
            <w:tcBorders>
              <w:left w:val="single" w:color="auto" w:sz="4" w:space="0"/>
              <w:bottom w:val="single" w:color="auto" w:sz="4" w:space="0"/>
              <w:right w:val="single" w:color="auto" w:sz="4" w:space="0"/>
            </w:tcBorders>
            <w:tcW w:w="580" w:type="pct"/>
            <w:vAlign w:val="center"/>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支持检测网站后门Webshell、反弹Shell、异常Shell、高危命令执行可疑系统账号、异常提权操作等威胁。</w:t>
            </w:r>
            <w:r/>
          </w:p>
        </w:tc>
      </w:tr>
      <w:tr>
        <w:trPr/>
        <w:tc>
          <w:tcPr>
            <w:tcBorders>
              <w:top w:val="single" w:color="auto" w:sz="4" w:space="0"/>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日志审计</w:t>
            </w:r>
            <w:r/>
          </w:p>
        </w:tc>
        <w:tc>
          <w:tcPr>
            <w:tcBorders>
              <w:top w:val="single" w:color="auto" w:sz="4" w:space="0"/>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日志采集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支持采集日志、告警、漏洞等安全数据，对安全数据可自动化租户和资源标识，方便按照租户维度进行审计和分析。</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支持无码化解析模板，通过简单配置即可接入并解析外部安全产品的日志。</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多种安全日志数据源接入的方式，如TCP、UDP、KAFKA、OBS、Pipe、File等。支持多种日志格式解析，如json、prune、KeyValue、csv、UUID、mutate、grok、date、drop等，此外对于用户自定义的格式，还支持正则表达式匹配和解析。</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bottom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支持监控日志采集任务的接收速率、发送速率和健康状态；支持监控采集器的CPU、内存、网络、磁盘资源使用情况。</w:t>
            </w:r>
            <w:r/>
          </w:p>
        </w:tc>
      </w:tr>
      <w:tr>
        <w:trPr/>
        <w:tc>
          <w:tcPr>
            <w:tcBorders>
              <w:left w:val="single" w:color="auto" w:sz="4" w:space="0"/>
              <w:bottom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日志保留</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支持日志完整保留180天，满足等保审计对保留时长的要求。</w:t>
            </w:r>
            <w:r/>
          </w:p>
        </w:tc>
      </w:tr>
      <w:tr>
        <w:trPr/>
        <w:tc>
          <w:tcPr>
            <w:tcBorders>
              <w:top w:val="single" w:color="auto" w:sz="4" w:space="0"/>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堡垒机</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权限控制</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支持手机令牌、手机短信、USBKey、动态令牌等多因子认证形式。支持AD域、RADIUS、LDAP、Azure AD用户账号远程认证。</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资源运维审计</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支持对Linux命令审计、Windows操作审计全程录像记录，支持生成视频文件，一键下载会话视频。</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bottom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支持集中可视化呈现运维统计信息，包括运维时间分布、资源访问次数、会话时长、命令拦截、字符命令数、传输文件数等信息。支持一键导出运维报表。</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高效运维</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支持使用浏览器上传文件到堡垒机或从堡垒机下载文件，并可共享堡垒机的文件到被运维云主机。</w:t>
            </w:r>
            <w:r/>
          </w:p>
        </w:tc>
      </w:tr>
      <w:tr>
        <w:trPr/>
        <w:tc>
          <w:tcPr>
            <w:tcBorders>
              <w:top w:val="single" w:color="auto" w:sz="4" w:space="0"/>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sz w:val="21"/>
                <w:szCs w:val="21"/>
              </w:rPr>
            </w:pPr>
            <w:r>
              <w:rPr>
                <w:rFonts w:hint="eastAsia" w:ascii="宋体" w:hAnsi="宋体" w:cs="仿宋_GB2312"/>
                <w:sz w:val="21"/>
                <w:szCs w:val="21"/>
              </w:rPr>
              <w:t xml:space="preserve">WAF</w:t>
            </w:r>
            <w:r/>
          </w:p>
        </w:tc>
        <w:tc>
          <w:tcPr>
            <w:tcBorders>
              <w:top w:val="single" w:color="auto" w:sz="4" w:space="0"/>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基础防护</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支持对OWASP Top攻击进行安全防护，支持包括XSS、SQL注入、命令注入、代码注入、远程溢出攻击、Webshell检测（上传木马）等。</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支持CC防御，支持基于IP/Cookie/Referer的源和目的限速，限速的防护动作至少要支持设置验证码、动态阻断IP/用户一段时间，限速的响应页面支持用户自定义。</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支持针对地理位置进行访问控制，策略支持同时选择多个国家。</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安全管理</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支持查看昨天、今天、3天、7天或者30天内所有防护网站和指定防护网站的防护情况，包括请求与各攻击类型统计次数，QPS、带宽，以及事件分布、受攻击域名 Top10、攻击源IP Top10、受攻击URL Top10等防护数据。</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sz w:val="21"/>
                <w:szCs w:val="21"/>
              </w:rPr>
            </w:pPr>
            <w:r>
              <w:rPr>
                <w:rFonts w:ascii="宋体" w:hAnsi="宋体" w:cs="仿宋_GB2312"/>
                <w:sz w:val="21"/>
                <w:szCs w:val="21"/>
              </w:rPr>
            </w:r>
            <w:r/>
          </w:p>
        </w:tc>
        <w:tc>
          <w:tcPr>
            <w:tcBorders>
              <w:left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支持记录防护日志，日志中至少包括攻击发生时间、源站IP、域名、URL、事件类型、防护动作等信息，支持按照攻击事件、命中规则、防护动作、源站IP、URL等多维度条件查询防护日志。</w:t>
            </w:r>
            <w:r/>
          </w:p>
        </w:tc>
      </w:tr>
      <w:tr>
        <w:trPr/>
        <w:tc>
          <w:tcPr>
            <w:tcBorders>
              <w:top w:val="single" w:color="auto" w:sz="4" w:space="0"/>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数据库审计</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基本功能</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支持旁路模式数据库审计功能，支持实时记录用户访问数据库行为，形成细粒度的审计报告，对风险行为和攻击行为进行实时告警。</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数据库类型</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支持审计常见数据库，包括GaussDB、TDSQL、神通、南大通用、达梦、人大金仓，海量等数据库。</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审计能力</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支持实时审计用户对主流数据库系统所有操作（插入、删除、更新、用户自定义操作等），还原操作信息包括会话ID、数据库实例、数据库类型、数据库用户、客户端MAC地址、数据库MAC地址、客户端IP、数据库IP、客户端端口、数据库端口、客户端名称、操作类型、操作对象类型、响应结果、影响行数、开始时间、响应结束时间、SQL请求语句、请求结果等字段。</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right w:val="single" w:color="auto" w:sz="4" w:space="0"/>
            </w:tcBorders>
            <w:tcW w:w="738"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审计展示</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支持展示会话的终端信息、会话的主机信息、会话的其它信息、操作信息等。</w:t>
            </w:r>
            <w:r/>
          </w:p>
        </w:tc>
      </w:tr>
      <w:tr>
        <w:trPr/>
        <w:tc>
          <w:tcPr>
            <w:tcBorders>
              <w:left w:val="single" w:color="auto" w:sz="4" w:space="0"/>
              <w:bottom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bottom w:val="single" w:color="auto" w:sz="4" w:space="0"/>
              <w:right w:val="single" w:color="auto" w:sz="4" w:space="0"/>
            </w:tcBorders>
            <w:tcW w:w="738"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支持跨审计实例汇聚纳管的所有数据库的审计信息，包括语句分布、风险分布、风险规则分析、会话分布等，并统一在用户界面展示。</w:t>
            </w:r>
            <w:r/>
          </w:p>
        </w:tc>
      </w:tr>
      <w:tr>
        <w:trPr/>
        <w:tc>
          <w:tcPr>
            <w:tcBorders>
              <w:top w:val="single" w:color="auto" w:sz="4" w:space="0"/>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流量检测与响应</w:t>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全流量检测</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支持大流量检测，支持典型应用协议识别，如：HTTP/TCP/UDP/DNS/Telnet/SMTP/DHCP/FTP/MySQL/IMAP/SSH/SMB/RDP/TLS/MSSQL等。</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入侵检测</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支持常见典型攻击的识别与防御，如：爆破、扫描、Web攻击、Webshell、反弹shell、恶意程序、异常连接、异常协议、数据泄密等。</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安全策略</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支持工作模式设置，其中包括观察模式、拦截模式。</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行为审计</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用户访问行为审计，包括中间件应用访问审计、高危协议请求连接审计、黑客工具连接审计；行为审计对应的字段包括发生时间、危险等级、告警可信度、项目ID、租户名、规则ID、命中规则名称、攻击源IP、攻击源端口、被攻击IP、被攻击端口、传输协议、应用协议、方向的字段。</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规则特征库</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支持特征规则引擎、行为分析引擎、机器学习引擎以及权威的第三方特征规则库，可根据需要随时加载离线更新包，提高安全检出率和准确率。</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威胁情报集成</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支持地理位置信息库，方便客户通过地理位置判断攻击源；可根据需要随时加载离线更新包，及时获取最新情报信息，辅助快速研判攻击。</w:t>
            </w:r>
            <w:r/>
          </w:p>
        </w:tc>
      </w:tr>
      <w:tr>
        <w:trPr/>
        <w:tc>
          <w:tcPr>
            <w:tcBorders>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漏洞扫描</w:t>
            </w:r>
            <w:r/>
          </w:p>
        </w:tc>
        <w:tc>
          <w:tcPr>
            <w:tcBorders>
              <w:top w:val="single" w:color="auto" w:sz="4" w:space="0"/>
              <w:left w:val="single" w:color="auto" w:sz="4" w:space="0"/>
              <w:right w:val="single" w:color="auto" w:sz="4" w:space="0"/>
            </w:tcBorders>
            <w:tcW w:w="738" w:type="pct"/>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基础扫描能力</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提供统一的资产管理功能，可以对主机和网站资产进行统一管理，包括资产的添加、编辑、删除等操作</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提供Web应用漏洞扫描能力，支持扫描使用Ajax、JavaScript、Flash等技术构建的网站，支持扫描使用Tomcat、Apache、Nginx、IIS等Web容器部署的网站支持；支持HTTP和HTTPS协议的扫描</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bottom w:val="single" w:color="auto" w:sz="4" w:space="0"/>
              <w:right w:val="single" w:color="auto" w:sz="4" w:space="0"/>
            </w:tcBorders>
            <w:tcW w:w="738" w:type="pct"/>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支持对常见的Linux/Windows等操作系统进行认证扫描，支持国产信创操作系统。</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漏洞库管理</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提供漏洞库管理功能，支持漏洞库离线更新，可展示漏洞库版本信息、更新时间等信息。</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资产风险</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提供百分制量化的资产风险，通过资产遗留的高/中/低漏洞占比，自动计算资产风险值，并提供资产风险等级说明。</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基线检查</w:t>
            </w:r>
            <w:r/>
          </w:p>
        </w:tc>
        <w:tc>
          <w:tcPr>
            <w:tcBorders>
              <w:top w:val="single" w:color="auto" w:sz="4" w:space="0"/>
              <w:left w:val="single" w:color="auto" w:sz="4" w:space="0"/>
              <w:bottom w:val="single" w:color="auto" w:sz="4" w:space="0"/>
              <w:right w:val="single" w:color="auto" w:sz="4" w:space="0"/>
            </w:tcBorders>
            <w:tcW w:w="3681" w:type="pct"/>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提供等保合规基线检查，覆盖常见Linux系统、信创系统等。</w:t>
            </w:r>
            <w:r/>
          </w:p>
        </w:tc>
      </w:tr>
      <w:tr>
        <w:trPr/>
        <w:tc>
          <w:tcPr>
            <w:tcBorders>
              <w:left w:val="single" w:color="auto" w:sz="4" w:space="0"/>
              <w:right w:val="single" w:color="auto" w:sz="4" w:space="0"/>
            </w:tcBorders>
            <w:tcW w:w="580" w:type="pct"/>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密钥管理服务</w:t>
            </w:r>
            <w:r/>
          </w:p>
        </w:tc>
        <w:tc>
          <w:tcPr>
            <w:tcBorders>
              <w:top w:val="single" w:color="auto" w:sz="4" w:space="0"/>
              <w:left w:val="single" w:color="auto" w:sz="4" w:space="0"/>
              <w:right w:val="single" w:color="auto" w:sz="4" w:space="0"/>
            </w:tcBorders>
            <w:tcW w:w="738" w:type="pct"/>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基础功能</w:t>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密钥生命周期管理：支持租户创建、启用、禁用、计划删除、轮转、修改别名、修改用户主密钥描述等</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数据密钥：支持数据密钥创建能力，支持为各服务及应用创建、加密、解密数据密钥</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根密钥保护：支持硬件加密机保护根密钥，支持根密钥保护，针对高安全要求客户，可基于硬件加密机（HSM）对根密钥保护</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用户主密钥导入：支持用户密钥导入能力，用户根据KMS提供的API接口或控制台引导界面导入用户自己生成的密钥</w:t>
            </w:r>
            <w:r/>
          </w:p>
        </w:tc>
      </w:tr>
      <w:tr>
        <w:trPr/>
        <w:tc>
          <w:tcPr>
            <w:tcBorders>
              <w:left w:val="single" w:color="auto" w:sz="4" w:space="0"/>
              <w:right w:val="single" w:color="auto" w:sz="4" w:space="0"/>
            </w:tcBorders>
            <w:tcW w:w="580" w:type="pct"/>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left w:val="single" w:color="auto" w:sz="4" w:space="0"/>
              <w:right w:val="single" w:color="auto" w:sz="4" w:space="0"/>
            </w:tcBorders>
            <w:tcW w:w="738" w:type="pct"/>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3681" w:type="pc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密钥授权管理：支持密钥授权管理，可以将密钥授权给不同用户使用</w:t>
            </w:r>
            <w:r/>
          </w:p>
        </w:tc>
      </w:tr>
    </w:tbl>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4.</w:t>
      </w:r>
      <w:r>
        <w:rPr>
          <w:rFonts w:hint="eastAsia" w:ascii="宋体" w:hAnsi="宋体"/>
          <w:b/>
          <w:bCs/>
          <w:sz w:val="21"/>
          <w:szCs w:val="21"/>
        </w:rPr>
        <w:t xml:space="preserve">零信任服务要求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零信任服务提供主动防御+被动防御一体化的能力，基于传统架构“账号、终端、设备”三道防线，持续增强防线内纵深防护；扩展主动防御能力，创新融合威胁诱捕、安全雷达等技术，支持对接态势感知、EDR、AC等多种安全设备，安全能力持续成长，助力网络安全体系向零信任架构迁移，帮助实现流量身份化、权限智能化、访问控制动态化、运维管理极简化的网络安全架构。</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1.2.14.</w:t>
      </w:r>
      <w:r>
        <w:rPr>
          <w:rFonts w:ascii="宋体" w:hAnsi="宋体"/>
          <w:b/>
          <w:bCs/>
          <w:sz w:val="21"/>
          <w:szCs w:val="21"/>
        </w:rPr>
        <w:t xml:space="preserve">5.</w:t>
      </w:r>
      <w:r>
        <w:rPr>
          <w:rFonts w:hint="eastAsia" w:ascii="宋体" w:hAnsi="宋体"/>
          <w:b/>
          <w:bCs/>
          <w:sz w:val="21"/>
          <w:szCs w:val="21"/>
        </w:rPr>
        <w:t xml:space="preserve">日志集中管理要求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日志集中管理服务利用相关软硬件实现对主机、数据库、中间件、网络设备、安全设备、云平台、业务系统等相关系统的全量日志数据进行有效、集中采集，通过相关协议将相关设备日志实时发送到日志管理平台，支持常见服务器、虚拟机、容器等设备与系统日志采集。并支持将采集到的日志数据进行不少于6个月的存储。</w:t>
      </w:r>
      <w:r/>
    </w:p>
    <w:p>
      <w:pPr>
        <w:ind w:left="0" w:firstLine="420"/>
        <w:spacing w:line="360" w:lineRule="auto"/>
        <w:widowControl w:val="off"/>
        <w:rPr>
          <w:rFonts w:ascii="宋体" w:hAnsi="宋体" w:cs="仿宋"/>
          <w:sz w:val="21"/>
          <w:szCs w:val="21"/>
        </w:rPr>
      </w:pPr>
      <w:r>
        <w:rPr>
          <w:rFonts w:hint="eastAsia" w:ascii="宋体" w:hAnsi="宋体" w:cs="仿宋_GB2312"/>
          <w:sz w:val="21"/>
          <w:szCs w:val="21"/>
        </w:rPr>
        <w:t xml:space="preserve">对于采集到的各类日志，结构化成需要监控分析的字段，并进行后续的解析与处理，并根据使用需求设置告警项、告警规则，辅助故障定位与问题排查。</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1.2.15.数据库、操作系统及中间件要求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数据库：</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（1）提供数据库管理系统，支持 SQL 标准和主流编程语言接口/开发框架。行列融合存储技术，在兼顾 OLAP 和 OLTP 的同时，满足 HTAP 混合应用场景。本次投标的云平台须支持现网达梦、人大金仓、TDsql、GaussDB、南大通用、神州通用、海量等数据库的部署。</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（2）针对大数据量分析场景，提供拥有处理 PB 级别数据量的超强性能分析能力的分布式数据库。数据库采用高性能的列式存储和计算技术，支持主动数据压缩，高级分析，具有弹性扩展以及自定义外部扩展等先进特性。</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操作系统：提供主流</w:t>
      </w:r>
      <w:r>
        <w:rPr>
          <w:rFonts w:hint="eastAsia" w:ascii="宋体" w:hAnsi="宋体" w:cs="Times New Roman"/>
          <w:sz w:val="21"/>
          <w:szCs w:val="21"/>
        </w:rPr>
        <w:t xml:space="preserve">国产</w:t>
      </w:r>
      <w:r>
        <w:rPr>
          <w:rFonts w:hint="eastAsia" w:ascii="宋体" w:hAnsi="宋体" w:cs="仿宋_GB2312"/>
          <w:sz w:val="21"/>
          <w:szCs w:val="21"/>
        </w:rPr>
        <w:t xml:space="preserve">操作系统，支持主流CPU架构。</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中间件：</w:t>
      </w:r>
      <w:r>
        <w:rPr>
          <w:rFonts w:hint="eastAsia" w:ascii="宋体" w:hAnsi="宋体" w:cs="Times New Roman"/>
          <w:sz w:val="21"/>
          <w:szCs w:val="21"/>
        </w:rPr>
        <w:t xml:space="preserve">提供主流国产web应用服务器中间件软件、主流分布式缓存中间件软件、主流分布式消息队列软件和中间件统一管理服务</w:t>
      </w:r>
      <w:r>
        <w:rPr>
          <w:rFonts w:hint="eastAsia" w:ascii="宋体" w:hAnsi="宋体" w:cs="仿宋_GB2312"/>
          <w:sz w:val="21"/>
          <w:szCs w:val="21"/>
        </w:rPr>
        <w:t xml:space="preserve">。</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1.2.16.大数据服务</w:t>
      </w:r>
      <w:r/>
    </w:p>
    <w:p>
      <w:pPr>
        <w:ind w:left="0" w:firstLine="420"/>
        <w:spacing w:line="360" w:lineRule="auto"/>
        <w:widowControl w:val="off"/>
        <w:rPr>
          <w:rFonts w:ascii="宋体" w:hAnsi="宋体" w:cs="仿宋_GB2312"/>
          <w:sz w:val="21"/>
          <w:szCs w:val="21"/>
        </w:rPr>
      </w:pPr>
      <w:r>
        <w:rPr>
          <w:rFonts w:hint="eastAsia" w:ascii="宋体" w:hAnsi="宋体" w:cs="仿宋_GB2312"/>
          <w:bCs/>
          <w:sz w:val="21"/>
          <w:szCs w:val="21"/>
          <w:lang w:bidi="ar"/>
        </w:rPr>
        <w:t xml:space="preserve">苏州市国产化政务云已承载一体化公共数据底座，目标实现“数据资源一体化”，完善数据归集、治理、分析与应用全链条闭环机制。</w:t>
      </w:r>
      <w:r>
        <w:rPr>
          <w:rFonts w:hint="eastAsia" w:ascii="宋体" w:hAnsi="宋体" w:cs="仿宋_GB2312"/>
          <w:sz w:val="21"/>
          <w:szCs w:val="21"/>
        </w:rPr>
        <w:t xml:space="preserve">本次投标的云平台需满足大数据服务能力，大数据平台需与现有一体化公共数据底座兼容对接，统一数据湖仓管理平台及数据存储，实现全市公共数据统一接口、查询、处理。支持与一体化公共数据底座数据治理平台对接，实现数据集成，元数据采集、数据血缘分析。</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大数据服务提供租户完全可控的一站式企业级大数据集群云服务，完全兼容开源接口，结合云计算、存储优势及大数据行业经验，为客户提供高性能、低成本、灵活易用的数据湖服务。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大数据服务支持构筑企业的云原生数据湖，汇聚和存储企业或组织内全量的结构化/半结构化/非结构化数据。实现Lakehouse架构，湖内建仓，提供实时OLAP能力，实现数据不出湖，缩短数据分析链路，直接对接BI报表、交互式查询等业务，解决数据孤岛的问题。</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大数据服务提供Hadoop、Hive、Spark、HBase、Kafka、Flink、Elasticsearch、HetuEngine、Hudi、ClickHouse、Doris、GES、RTD等组件，具备T+0数据实时入湖、批量加工、实时流处理、流批一体、实时检索、交互式查询等能力，满足企业的全场景业务需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大数据服务务支持存算分离架构，实现统一数据存储，支持对接机器学习、图分析等能力，支持对接时序分析、时空分析引擎，减少系统间的数据迁移，进一步减少数据孤岛。</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大数据服务支持企业级多租户能力，可以将政务全量数据汇聚到数据湖内，数据在同一个湖内分析链路短，效率高；支持成熟的滚动升级能力，升级过程业务零中断，业务永远在线，保证数据湖内的业务平稳运行，提升业务SLA。</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支持与苏州市国产化政务云当前大数据平台建立主备集群能力，满足一体化公共数据底座后续建设需求。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数据湖技术指标：</w:t>
      </w:r>
      <w:r/>
    </w:p>
    <w:tbl>
      <w:tblPr>
        <w:tblStyle w:val="1024"/>
        <w:tblpPr w:horzAnchor="page" w:tblpX="1534" w:vertAnchor="text" w:tblpY="434" w:leftFromText="180" w:topFromText="0" w:rightFromText="180" w:bottomFromText="0"/>
        <w:tblW w:w="47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7562"/>
      </w:tblGrid>
      <w:tr>
        <w:trPr>
          <w:trHeight w:val="92"/>
        </w:trPr>
        <w:tc>
          <w:tcPr>
            <w:tcW w:w="1010" w:type="pct"/>
            <w:vAlign w:val="center"/>
            <w:textDirection w:val="lrTb"/>
            <w:noWrap w:val="false"/>
          </w:tcPr>
          <w:p>
            <w:pPr>
              <w:ind w:left="0"/>
              <w:jc w:val="center"/>
              <w:spacing w:before="166" w:after="166" w:line="360" w:lineRule="auto"/>
              <w:widowControl w:val="off"/>
              <w:rPr>
                <w:rFonts w:ascii="宋体" w:hAnsi="宋体" w:cs="仿宋_GB2312"/>
                <w:b/>
                <w:sz w:val="21"/>
                <w:szCs w:val="21"/>
              </w:rPr>
            </w:pPr>
            <w:r>
              <w:rPr>
                <w:rFonts w:hint="eastAsia" w:ascii="宋体" w:hAnsi="宋体" w:cs="仿宋_GB2312"/>
                <w:b/>
                <w:sz w:val="21"/>
                <w:szCs w:val="21"/>
              </w:rPr>
              <w:t xml:space="preserve">指标项</w:t>
            </w:r>
            <w:r/>
          </w:p>
        </w:tc>
        <w:tc>
          <w:tcPr>
            <w:tcW w:w="3989" w:type="pct"/>
            <w:vAlign w:val="center"/>
            <w:textDirection w:val="lrTb"/>
            <w:noWrap w:val="false"/>
          </w:tcPr>
          <w:p>
            <w:pPr>
              <w:ind w:left="0"/>
              <w:jc w:val="center"/>
              <w:spacing w:before="166" w:after="166" w:line="360" w:lineRule="auto"/>
              <w:widowControl w:val="off"/>
              <w:rPr>
                <w:rFonts w:ascii="宋体" w:hAnsi="宋体" w:cs="仿宋_GB2312"/>
                <w:b/>
                <w:sz w:val="21"/>
                <w:szCs w:val="21"/>
              </w:rPr>
            </w:pPr>
            <w:r>
              <w:rPr>
                <w:rFonts w:hint="eastAsia" w:ascii="宋体" w:hAnsi="宋体" w:cs="仿宋_GB2312"/>
                <w:b/>
                <w:sz w:val="21"/>
                <w:szCs w:val="21"/>
              </w:rPr>
              <w:t xml:space="preserve">技术参数要求</w:t>
            </w:r>
            <w:r/>
          </w:p>
        </w:tc>
      </w:tr>
      <w:tr>
        <w:trPr>
          <w:trHeight w:val="280"/>
        </w:trPr>
        <w:tc>
          <w:tcPr>
            <w:tcW w:w="1010" w:type="pct"/>
            <w:vAlign w:val="center"/>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总体要求</w:t>
            </w:r>
            <w:r/>
          </w:p>
        </w:tc>
        <w:tc>
          <w:tcPr>
            <w:tcW w:w="398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支持Hbase、Hive、Spark、ES等Hadoop组件服务能力。</w:t>
            </w:r>
            <w:r/>
          </w:p>
        </w:tc>
      </w:tr>
      <w:tr>
        <w:trPr>
          <w:trHeight w:val="840"/>
        </w:trPr>
        <w:tc>
          <w:tcPr>
            <w:tcW w:w="1010" w:type="pct"/>
            <w:vAlign w:val="center"/>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集群管理能力</w:t>
            </w:r>
            <w:r/>
          </w:p>
        </w:tc>
        <w:tc>
          <w:tcPr>
            <w:tcW w:w="398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支持异构集群部署，在集群中存在不同规格的节点，允许CPU类型、硬盘容量、硬盘类型、内存大小灵活组合，支持多种节点规格混合使用。</w:t>
            </w:r>
            <w:r/>
          </w:p>
        </w:tc>
      </w:tr>
      <w:tr>
        <w:trPr>
          <w:trHeight w:val="280"/>
        </w:trPr>
        <w:tc>
          <w:tcPr>
            <w:tcW w:w="1010" w:type="pct"/>
            <w:vAlign w:val="center"/>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兼容性</w:t>
            </w:r>
            <w:r/>
          </w:p>
        </w:tc>
        <w:tc>
          <w:tcPr>
            <w:tcW w:w="398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支持多种常见国产操作系统（欧拉OS、中标麒麟、银河麒麟、统信UOS等）。</w:t>
            </w:r>
            <w:r/>
          </w:p>
        </w:tc>
      </w:tr>
      <w:tr>
        <w:trPr>
          <w:trHeight w:val="560"/>
        </w:trPr>
        <w:tc>
          <w:tcPr>
            <w:tcW w:w="1010" w:type="pct"/>
            <w:vAlign w:val="center"/>
            <w:vMerge w:val="restart"/>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多租户</w:t>
            </w:r>
            <w:r/>
          </w:p>
        </w:tc>
        <w:tc>
          <w:tcPr>
            <w:tcW w:w="398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支持多租户管理，提供统一租户管理平台，实现租户资源的动态配置和管理，资源隔离，资源使用统计等功能。</w:t>
            </w:r>
            <w:r/>
          </w:p>
        </w:tc>
      </w:tr>
      <w:tr>
        <w:trPr>
          <w:trHeight w:val="560"/>
        </w:trPr>
        <w:tc>
          <w:tcPr>
            <w:tcW w:w="1010" w:type="pct"/>
            <w:vAlign w:val="center"/>
            <w:vMerge w:val="continue"/>
            <w:textDirection w:val="lrTb"/>
            <w:noWrap w:val="false"/>
          </w:tcPr>
          <w:p>
            <w:pPr>
              <w:ind w:left="0"/>
              <w:jc w:val="center"/>
              <w:spacing w:line="360" w:lineRule="auto"/>
              <w:widowControl w:val="off"/>
              <w:rPr>
                <w:rFonts w:ascii="宋体" w:hAnsi="宋体" w:cs="仿宋_GB2312"/>
                <w:sz w:val="21"/>
                <w:szCs w:val="21"/>
              </w:rPr>
            </w:pPr>
            <w:r>
              <w:rPr>
                <w:rFonts w:ascii="宋体" w:hAnsi="宋体" w:cs="仿宋_GB2312"/>
                <w:sz w:val="21"/>
                <w:szCs w:val="21"/>
              </w:rPr>
            </w:r>
            <w:r/>
          </w:p>
        </w:tc>
        <w:tc>
          <w:tcPr>
            <w:tcW w:w="398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支持在同一集群内同一组件部署多个服务，服务之间资源相互物理隔离。</w:t>
            </w:r>
            <w:r/>
          </w:p>
        </w:tc>
      </w:tr>
      <w:tr>
        <w:trPr>
          <w:trHeight w:val="280"/>
        </w:trPr>
        <w:tc>
          <w:tcPr>
            <w:tcW w:w="1010" w:type="pct"/>
            <w:vAlign w:val="center"/>
            <w:vMerge w:val="restart"/>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安全性</w:t>
            </w:r>
            <w:r/>
          </w:p>
        </w:tc>
        <w:tc>
          <w:tcPr>
            <w:tcW w:w="398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支持对集群内节点的服务使用端口情况进行控制</w:t>
            </w:r>
            <w:r/>
          </w:p>
        </w:tc>
      </w:tr>
      <w:tr>
        <w:trPr>
          <w:trHeight w:val="280"/>
        </w:trPr>
        <w:tc>
          <w:tcPr>
            <w:tcW w:w="1010" w:type="pct"/>
            <w:vAlign w:val="center"/>
            <w:vMerge w:val="continue"/>
            <w:textDirection w:val="lrTb"/>
            <w:noWrap w:val="false"/>
          </w:tcPr>
          <w:p>
            <w:pPr>
              <w:ind w:left="0"/>
              <w:jc w:val="center"/>
              <w:spacing w:line="360" w:lineRule="auto"/>
              <w:widowControl w:val="off"/>
              <w:rPr>
                <w:rFonts w:ascii="宋体" w:hAnsi="宋体" w:cs="仿宋_GB2312"/>
                <w:sz w:val="21"/>
                <w:szCs w:val="21"/>
              </w:rPr>
            </w:pPr>
            <w:r>
              <w:rPr>
                <w:rFonts w:ascii="宋体" w:hAnsi="宋体" w:cs="仿宋_GB2312"/>
                <w:sz w:val="21"/>
                <w:szCs w:val="21"/>
              </w:rPr>
            </w:r>
            <w:r/>
          </w:p>
        </w:tc>
        <w:tc>
          <w:tcPr>
            <w:tcW w:w="398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支持基于策略和角色的权限控制</w:t>
            </w:r>
            <w:r/>
          </w:p>
        </w:tc>
      </w:tr>
    </w:tbl>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数据仓技术指标：</w:t>
      </w:r>
      <w:r/>
    </w:p>
    <w:tbl>
      <w:tblPr>
        <w:tblStyle w:val="1024"/>
        <w:tblW w:w="4937" w:type="pct"/>
        <w:jc w:val="center"/>
        <w:tblLayout w:type="autofit"/>
        <w:tblCellMar>
          <w:left w:w="108" w:type="dxa"/>
          <w:top w:w="0" w:type="dxa"/>
          <w:right w:w="108" w:type="dxa"/>
          <w:bottom w:w="0" w:type="dxa"/>
        </w:tblCellMar>
        <w:tblLook w:val="04A0" w:firstRow="1" w:lastRow="0" w:firstColumn="1" w:lastColumn="0" w:noHBand="0" w:noVBand="1"/>
      </w:tblPr>
      <w:tblGrid>
        <w:gridCol w:w="1852"/>
        <w:gridCol w:w="8101"/>
      </w:tblGrid>
      <w:tr>
        <w:trPr>
          <w:jc w:val="center"/>
          <w:trHeight w:val="330"/>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val="false"/>
          </w:tcPr>
          <w:p>
            <w:pPr>
              <w:ind w:left="0"/>
              <w:jc w:val="center"/>
              <w:spacing w:before="166" w:after="166" w:line="360" w:lineRule="auto"/>
              <w:widowControl w:val="off"/>
              <w:rPr>
                <w:rFonts w:ascii="宋体" w:hAnsi="宋体" w:cs="仿宋_GB2312"/>
                <w:sz w:val="21"/>
                <w:szCs w:val="21"/>
              </w:rPr>
            </w:pPr>
            <w:r>
              <w:rPr>
                <w:rFonts w:hint="eastAsia" w:ascii="宋体" w:hAnsi="宋体" w:cs="仿宋_GB2312"/>
                <w:b/>
                <w:sz w:val="21"/>
                <w:szCs w:val="21"/>
              </w:rPr>
              <w:t xml:space="preserve">指标项</w:t>
            </w:r>
            <w:r/>
          </w:p>
        </w:tc>
        <w:tc>
          <w:tcPr>
            <w:tcBorders>
              <w:top w:val="single" w:color="000000" w:sz="4" w:space="0"/>
              <w:left w:val="none" w:color="000000" w:sz="4" w:space="0"/>
              <w:bottom w:val="single" w:color="000000" w:sz="4" w:space="0"/>
              <w:right w:val="single" w:color="000000" w:sz="4" w:space="0"/>
            </w:tcBorders>
            <w:tcW w:w="4069" w:type="pct"/>
            <w:vAlign w:val="center"/>
            <w:textDirection w:val="lrTb"/>
            <w:noWrap w:val="false"/>
          </w:tcPr>
          <w:p>
            <w:pPr>
              <w:ind w:left="0"/>
              <w:jc w:val="center"/>
              <w:spacing w:before="166" w:after="166" w:line="360" w:lineRule="auto"/>
              <w:widowControl w:val="off"/>
              <w:rPr>
                <w:rFonts w:ascii="宋体" w:hAnsi="宋体" w:cs="仿宋_GB2312"/>
                <w:sz w:val="21"/>
                <w:szCs w:val="21"/>
              </w:rPr>
            </w:pPr>
            <w:r>
              <w:rPr>
                <w:rFonts w:hint="eastAsia" w:ascii="宋体" w:hAnsi="宋体" w:cs="仿宋_GB2312"/>
                <w:b/>
                <w:sz w:val="21"/>
                <w:szCs w:val="21"/>
              </w:rPr>
              <w:t xml:space="preserve">技术参数要求</w:t>
            </w:r>
            <w:r/>
          </w:p>
        </w:tc>
      </w:tr>
      <w:tr>
        <w:trPr>
          <w:jc w:val="center"/>
          <w:trHeight w:val="330"/>
        </w:trPr>
        <w:tc>
          <w:tcPr>
            <w:tcBorders>
              <w:top w:val="none" w:color="000000" w:sz="4" w:space="0"/>
              <w:left w:val="single" w:color="000000" w:sz="4" w:space="0"/>
              <w:bottom w:val="none" w:color="000000" w:sz="4" w:space="0"/>
              <w:right w:val="single" w:color="000000" w:sz="4" w:space="0"/>
            </w:tcBorders>
            <w:tcW w:w="930" w:type="pct"/>
            <w:vAlign w:val="center"/>
            <w:vMerge w:val="restart"/>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核心能力</w:t>
            </w:r>
            <w:r/>
          </w:p>
        </w:tc>
        <w:tc>
          <w:tcPr>
            <w:tcBorders>
              <w:top w:val="single" w:color="000000" w:sz="4" w:space="0"/>
              <w:left w:val="none" w:color="000000" w:sz="4" w:space="0"/>
              <w:bottom w:val="single" w:color="000000" w:sz="4" w:space="0"/>
              <w:right w:val="single" w:color="000000" w:sz="4" w:space="0"/>
            </w:tcBorders>
            <w:tcW w:w="406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支持全局事务一致性，数据库事务特性支持RC/RR两种隔离级</w:t>
            </w:r>
            <w:r/>
          </w:p>
        </w:tc>
      </w:tr>
      <w:tr>
        <w:trPr>
          <w:jc w:val="center"/>
          <w:trHeight w:val="330"/>
        </w:trPr>
        <w:tc>
          <w:tcPr>
            <w:tcBorders>
              <w:top w:val="none" w:color="000000" w:sz="4" w:space="0"/>
              <w:left w:val="single" w:color="000000" w:sz="4" w:space="0"/>
              <w:bottom w:val="single" w:color="auto" w:sz="4" w:space="0"/>
              <w:right w:val="single" w:color="000000" w:sz="4" w:space="0"/>
            </w:tcBorders>
            <w:tcW w:w="930" w:type="pct"/>
            <w:vAlign w:val="center"/>
            <w:vMerge w:val="continue"/>
            <w:textDirection w:val="lrTb"/>
            <w:noWrap w:val="false"/>
          </w:tcPr>
          <w:p>
            <w:pPr>
              <w:ind w:left="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none" w:color="000000" w:sz="4" w:space="0"/>
              <w:bottom w:val="single" w:color="auto" w:sz="4" w:space="0"/>
              <w:right w:val="single" w:color="000000" w:sz="4" w:space="0"/>
            </w:tcBorders>
            <w:tcW w:w="406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支持服务器端错误自动重试，故障不中断业务</w:t>
            </w:r>
            <w:r/>
          </w:p>
        </w:tc>
      </w:tr>
      <w:tr>
        <w:trPr>
          <w:jc w:val="center"/>
          <w:trHeight w:val="330"/>
        </w:trPr>
        <w:tc>
          <w:tcPr>
            <w:tcBorders>
              <w:top w:val="none" w:color="000000" w:sz="4" w:space="0"/>
              <w:left w:val="single" w:color="000000" w:sz="4" w:space="0"/>
              <w:bottom w:val="single" w:color="auto" w:sz="4" w:space="0"/>
              <w:right w:val="single" w:color="000000" w:sz="4" w:space="0"/>
            </w:tcBorders>
            <w:tcW w:w="930" w:type="pct"/>
            <w:vAlign w:val="center"/>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容灾备份要求</w:t>
            </w:r>
            <w:r/>
          </w:p>
        </w:tc>
        <w:tc>
          <w:tcPr>
            <w:tcBorders>
              <w:top w:val="single" w:color="000000" w:sz="4" w:space="0"/>
              <w:left w:val="none" w:color="000000" w:sz="4" w:space="0"/>
              <w:bottom w:val="single" w:color="auto" w:sz="4" w:space="0"/>
              <w:right w:val="single" w:color="000000" w:sz="4" w:space="0"/>
            </w:tcBorders>
            <w:tcW w:w="406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支持集群级物理备份，支持全量、增量的备份与恢复，支持周期备份策略和一次性备份策略。</w:t>
            </w:r>
            <w:r/>
          </w:p>
        </w:tc>
      </w:tr>
      <w:tr>
        <w:trPr>
          <w:jc w:val="center"/>
          <w:trHeight w:val="660"/>
        </w:trPr>
        <w:tc>
          <w:tcPr>
            <w:tcBorders>
              <w:top w:val="single" w:color="auto" w:sz="4" w:space="0"/>
              <w:left w:val="single" w:color="auto" w:sz="4" w:space="0"/>
              <w:bottom w:val="single" w:color="auto" w:sz="4" w:space="0"/>
              <w:right w:val="single" w:color="auto" w:sz="4" w:space="0"/>
            </w:tcBorders>
            <w:tcW w:w="930" w:type="pct"/>
            <w:vAlign w:val="center"/>
            <w:vMerge w:val="restart"/>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关键特性</w:t>
            </w:r>
            <w:r/>
          </w:p>
        </w:tc>
        <w:tc>
          <w:tcPr>
            <w:tcBorders>
              <w:top w:val="single" w:color="auto" w:sz="4" w:space="0"/>
              <w:left w:val="single" w:color="auto" w:sz="4" w:space="0"/>
              <w:bottom w:val="single" w:color="auto" w:sz="4" w:space="0"/>
              <w:right w:val="single" w:color="auto" w:sz="4" w:space="0"/>
            </w:tcBorders>
            <w:tcW w:w="406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支持Range分区：分区键支持整型、字符型、时间型等数据类型；</w:t>
            </w:r>
            <w:r>
              <w:rPr>
                <w:rFonts w:hint="eastAsia" w:ascii="宋体" w:hAnsi="宋体" w:cs="仿宋_GB2312"/>
                <w:sz w:val="21"/>
                <w:szCs w:val="21"/>
              </w:rPr>
              <w:br/>
            </w:r>
            <w:r>
              <w:rPr>
                <w:rFonts w:hint="eastAsia" w:ascii="宋体" w:hAnsi="宋体" w:cs="仿宋_GB2312"/>
                <w:sz w:val="21"/>
                <w:szCs w:val="21"/>
              </w:rPr>
              <w:t xml:space="preserve">采用分区剪枝技术，在对分区表进行查询时</w:t>
            </w:r>
            <w:r/>
          </w:p>
        </w:tc>
      </w:tr>
      <w:tr>
        <w:trPr>
          <w:jc w:val="center"/>
          <w:trHeight w:val="660"/>
        </w:trPr>
        <w:tc>
          <w:tcPr>
            <w:tcBorders>
              <w:top w:val="single" w:color="auto" w:sz="4" w:space="0"/>
              <w:left w:val="single" w:color="auto" w:sz="4" w:space="0"/>
              <w:bottom w:val="single" w:color="auto" w:sz="4" w:space="0"/>
              <w:right w:val="single" w:color="auto" w:sz="4" w:space="0"/>
            </w:tcBorders>
            <w:tcW w:w="930" w:type="pct"/>
            <w:vAlign w:val="center"/>
            <w:vMerge w:val="continue"/>
            <w:textDirection w:val="lrTb"/>
            <w:noWrap w:val="false"/>
          </w:tcPr>
          <w:p>
            <w:pPr>
              <w:ind w:left="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auto" w:sz="4" w:space="0"/>
              <w:left w:val="single" w:color="auto" w:sz="4" w:space="0"/>
              <w:bottom w:val="single" w:color="auto" w:sz="4" w:space="0"/>
              <w:right w:val="single" w:color="auto" w:sz="4" w:space="0"/>
            </w:tcBorders>
            <w:tcW w:w="406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逻辑集群：支持一套集群按服务器为单位划分为多个逻辑子集群，实现逻辑子集群间物理资源隔离，计算弹性共享，数据授权访问，逻辑子集群内支持资源水平切分的多租户机制</w:t>
            </w:r>
            <w:r/>
          </w:p>
        </w:tc>
      </w:tr>
      <w:tr>
        <w:trPr>
          <w:jc w:val="center"/>
          <w:trHeight w:val="660"/>
        </w:trPr>
        <w:tc>
          <w:tcPr>
            <w:tcBorders>
              <w:top w:val="single" w:color="auto" w:sz="4" w:space="0"/>
              <w:left w:val="single" w:color="000000" w:sz="4" w:space="0"/>
              <w:bottom w:val="none" w:color="000000" w:sz="4" w:space="0"/>
              <w:right w:val="single" w:color="000000" w:sz="4" w:space="0"/>
            </w:tcBorders>
            <w:tcW w:w="930" w:type="pct"/>
            <w:vAlign w:val="center"/>
            <w:vMerge w:val="restart"/>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功能特性</w:t>
            </w:r>
            <w:r/>
          </w:p>
        </w:tc>
        <w:tc>
          <w:tcPr>
            <w:tcBorders>
              <w:top w:val="single" w:color="auto" w:sz="4" w:space="0"/>
              <w:left w:val="none" w:color="000000" w:sz="4" w:space="0"/>
              <w:bottom w:val="single" w:color="000000" w:sz="4" w:space="0"/>
              <w:right w:val="single" w:color="000000" w:sz="4" w:space="0"/>
            </w:tcBorders>
            <w:tcW w:w="406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支持结构化数据和非结构化数据关联分析：支持基于GPU的异构硬件加速，如人像特征多维向量检索在GPU进行检索加速</w:t>
            </w:r>
            <w:r/>
          </w:p>
        </w:tc>
      </w:tr>
      <w:tr>
        <w:trPr>
          <w:jc w:val="center"/>
          <w:trHeight w:val="330"/>
        </w:trPr>
        <w:tc>
          <w:tcPr>
            <w:tcBorders>
              <w:top w:val="none" w:color="000000" w:sz="4" w:space="0"/>
              <w:left w:val="single" w:color="000000" w:sz="4" w:space="0"/>
              <w:bottom w:val="none" w:color="000000" w:sz="4" w:space="0"/>
              <w:right w:val="single" w:color="000000" w:sz="4" w:space="0"/>
            </w:tcBorders>
            <w:tcW w:w="930" w:type="pct"/>
            <w:vAlign w:val="center"/>
            <w:vMerge w:val="continue"/>
            <w:textDirection w:val="lrTb"/>
            <w:noWrap w:val="false"/>
          </w:tcPr>
          <w:p>
            <w:pPr>
              <w:ind w:left="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none" w:color="000000" w:sz="4" w:space="0"/>
              <w:bottom w:val="single" w:color="000000" w:sz="4" w:space="0"/>
              <w:right w:val="single" w:color="000000" w:sz="4" w:space="0"/>
            </w:tcBorders>
            <w:tcW w:w="406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支持多值列存储格式，基于Gin索引技术实现数亿多值列记录秒级查询</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930" w:type="pct"/>
            <w:vAlign w:val="center"/>
            <w:vMerge w:val="restart"/>
            <w:textDirection w:val="lrTb"/>
            <w:noWrap w:val="false"/>
          </w:tcPr>
          <w:p>
            <w:pPr>
              <w:ind w:left="0"/>
              <w:jc w:val="center"/>
              <w:spacing w:line="360" w:lineRule="auto"/>
              <w:widowControl w:val="off"/>
              <w:rPr>
                <w:rFonts w:ascii="宋体" w:hAnsi="宋体" w:cs="仿宋_GB2312"/>
                <w:sz w:val="21"/>
                <w:szCs w:val="21"/>
              </w:rPr>
            </w:pPr>
            <w:r>
              <w:rPr>
                <w:rFonts w:hint="eastAsia" w:ascii="宋体" w:hAnsi="宋体" w:cs="仿宋_GB2312"/>
                <w:sz w:val="21"/>
                <w:szCs w:val="21"/>
              </w:rPr>
              <w:t xml:space="preserve">数据安全</w:t>
            </w:r>
            <w:r/>
          </w:p>
        </w:tc>
        <w:tc>
          <w:tcPr>
            <w:tcBorders>
              <w:top w:val="single" w:color="000000" w:sz="4" w:space="0"/>
              <w:left w:val="none" w:color="000000" w:sz="4" w:space="0"/>
              <w:bottom w:val="single" w:color="000000" w:sz="4" w:space="0"/>
              <w:right w:val="single" w:color="000000" w:sz="4" w:space="0"/>
            </w:tcBorders>
            <w:tcW w:w="406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支持精细化访问权限控制能力，支持四种用户权限级别，并针对每种用户，可设置对象访问权限</w:t>
            </w:r>
            <w:r/>
          </w:p>
        </w:tc>
      </w:tr>
      <w:tr>
        <w:trPr>
          <w:jc w:val="center"/>
          <w:trHeight w:val="330"/>
        </w:trPr>
        <w:tc>
          <w:tcPr>
            <w:tcBorders>
              <w:top w:val="single" w:color="000000" w:sz="4" w:space="0"/>
              <w:left w:val="single" w:color="000000" w:sz="4" w:space="0"/>
              <w:bottom w:val="single" w:color="auto" w:sz="4" w:space="0"/>
              <w:right w:val="single" w:color="000000" w:sz="4" w:space="0"/>
            </w:tcBorders>
            <w:tcW w:w="930" w:type="pct"/>
            <w:vAlign w:val="center"/>
            <w:vMerge w:val="continue"/>
            <w:textDirection w:val="lrTb"/>
            <w:noWrap w:val="false"/>
          </w:tcPr>
          <w:p>
            <w:pPr>
              <w:ind w:left="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none" w:color="000000" w:sz="4" w:space="0"/>
              <w:bottom w:val="single" w:color="auto" w:sz="4" w:space="0"/>
              <w:right w:val="single" w:color="000000" w:sz="4" w:space="0"/>
            </w:tcBorders>
            <w:tcW w:w="4069" w:type="pct"/>
            <w:vAlign w:val="center"/>
            <w:textDirection w:val="lrTb"/>
            <w:noWrap w:val="false"/>
          </w:tcPr>
          <w:p>
            <w:pPr>
              <w:ind w:left="0"/>
              <w:jc w:val="left"/>
              <w:spacing w:line="360" w:lineRule="auto"/>
              <w:widowControl w:val="off"/>
              <w:rPr>
                <w:rFonts w:ascii="宋体" w:hAnsi="宋体" w:cs="仿宋_GB2312"/>
                <w:sz w:val="21"/>
                <w:szCs w:val="21"/>
              </w:rPr>
            </w:pPr>
            <w:r>
              <w:rPr>
                <w:rFonts w:hint="eastAsia" w:ascii="宋体" w:hAnsi="宋体" w:cs="仿宋_GB2312"/>
                <w:sz w:val="21"/>
                <w:szCs w:val="21"/>
              </w:rPr>
              <w:t xml:space="preserve">支持用户自定义审计日志保存策略，支持配置保存时间和大小</w:t>
            </w:r>
            <w:r/>
          </w:p>
        </w:tc>
      </w:tr>
    </w:tbl>
    <w:p>
      <w:pPr>
        <w:ind w:left="0" w:firstLine="420"/>
        <w:spacing w:line="360" w:lineRule="auto"/>
        <w:widowControl w:val="off"/>
        <w:rPr>
          <w:rFonts w:ascii="宋体" w:hAnsi="宋体" w:cs="仿宋_GB2312"/>
          <w:sz w:val="21"/>
          <w:szCs w:val="21"/>
        </w:rPr>
      </w:pPr>
      <w:r>
        <w:rPr>
          <w:rFonts w:ascii="宋体" w:hAnsi="宋体" w:cs="仿宋_GB2312"/>
          <w:sz w:val="21"/>
          <w:szCs w:val="21"/>
        </w:rPr>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1.2.17.人工智能服务</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1.2.17.</w:t>
      </w:r>
      <w:r>
        <w:rPr>
          <w:rFonts w:ascii="宋体" w:hAnsi="宋体"/>
          <w:b/>
          <w:bCs/>
          <w:sz w:val="21"/>
          <w:szCs w:val="21"/>
        </w:rPr>
        <w:t xml:space="preserve">1.</w:t>
      </w:r>
      <w:r>
        <w:rPr>
          <w:rFonts w:hint="eastAsia" w:ascii="宋体" w:hAnsi="宋体"/>
          <w:b/>
          <w:bCs/>
          <w:sz w:val="21"/>
          <w:szCs w:val="21"/>
        </w:rPr>
        <w:t xml:space="preserve">功能要求</w:t>
      </w:r>
      <w:r>
        <w:rPr>
          <w:rFonts w:ascii="宋体" w:hAnsi="宋体"/>
          <w:b/>
          <w:bCs/>
          <w:sz w:val="21"/>
          <w:szCs w:val="21"/>
        </w:rPr>
        <w:t xml:space="preserve"> </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为满足政务业务大模型训练和推理的智算需求，在政务云建设高性能智算算力资源池，提供按智算服务器整机分配的算力为使用单位提供人工智能算力服务支撑。同时，在用户使用人工智能过程中，提供AI专家咨询服务、AI使能服务、AI工具服务和AI助手服务。资源池支持国产化主流技术路线服务能力。</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1.2.17.</w:t>
      </w:r>
      <w:r>
        <w:rPr>
          <w:rFonts w:ascii="宋体" w:hAnsi="宋体"/>
          <w:b/>
          <w:bCs/>
          <w:sz w:val="21"/>
          <w:szCs w:val="21"/>
        </w:rPr>
        <w:t xml:space="preserve">2.</w:t>
      </w:r>
      <w:r>
        <w:rPr>
          <w:rFonts w:hint="eastAsia" w:ascii="宋体" w:hAnsi="宋体"/>
          <w:b/>
          <w:bCs/>
          <w:sz w:val="21"/>
          <w:szCs w:val="21"/>
        </w:rPr>
        <w:t xml:space="preserve">技术要求</w:t>
      </w:r>
      <w:r>
        <w:rPr>
          <w:rFonts w:ascii="宋体" w:hAnsi="宋体"/>
          <w:b/>
          <w:bCs/>
          <w:sz w:val="21"/>
          <w:szCs w:val="21"/>
        </w:rPr>
        <w:t xml:space="preserve"> </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大模型训练场景，为了降低训练时间、提升训练效率，通常对算力服务器的算力、显存带宽以及互联带宽等关键参数提供较高的要求；推理场景具有模型参数各不相同，且推理任务多等特点，通过提供多种算力和显存规格的算力服务器满足不同场景需求，避免资源浪费。面向训练场景提供至少1种算力服务器款型，通过多机高速互联支撑大模型训练，实现训练场景优先满足高性能的目标。面向推理场景根据模型参数量不同，提供至少3种算力服务器款型，实现推理场景高性价比的目标。</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训练服务器，支持FP32、FP16以及INT8等多种精度算力，提供具有高速带宽能力的HBM作为显存，能够支持Pytorch、TensorFlow、Mindspore以及PaddlePaddle等国内外知名深度学习开发框架，支持开源异构计算架构满足安全可靠性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推理服务器，根据模型参数量大小不一支持FP32或FP16或INT8的一种或多种精度的算力，提供HBM或GDDR片上高速内存，能够支持Pytorch、TensorFlow、Mindspore以及PaddlePaddle等国内外知名深度学习开发框架，支持开源异构计算架构满足安全可靠性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AI专家咨询服务，提供数据治理、大语言模型微调与优化、模型评测与智能体开发等人工智能专业咨询服务，并提供多种场景解决方案咨询。</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AI使能服务，为用户提供AI集群规划及调优服务，模型适配支持服务，远程AI开发使用支持服务。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AI工具服务，为用户提供低代码开发工具与丰富的功能模块，帮助开发者快速构建、部署和管理满足各类场景的智能应用。模型工具服务包括常见模型的支持、直观的 Prompt 编排界面、高质量的 RAG 引擎、稳健的 Agent 框架、灵活的流程编排，同时提供一套易用的界面和 API。</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AI助手租用服务，为用户提供一站式智能办公解决方案与丰富的功能应用，帮助用户高效完成、优化和创新日常工作中的各类任务。服务核心包含智能体管理、知识管理、公文写作、文件处理、会议纪要生成</w:t>
      </w:r>
      <w:r>
        <w:rPr>
          <w:rFonts w:hint="eastAsia" w:ascii="宋体" w:hAnsi="宋体" w:cs="仿宋_GB2312"/>
          <w:sz w:val="21"/>
          <w:szCs w:val="21"/>
        </w:rPr>
        <w:t xml:space="preserve">、通用问答等功能。可以实现知识按照个人、部门、共享知识库多级形式管理，提供知识共享功能；知识库中的内容可灵活应用于写作、问答场景；公文写作提供以稿写稿、场景写作、快速写作三种方式，支持在线润色、扩写、一键排版导出能力；会议纪要生成可实现语音文件解析，精准识别讲话人，提炼会议要点并生成会议原文和会议纪要，用户体系使用苏政服用户体系；提供智能体管理，包括注册、分类与管理所有业务智能体、智能体使用反馈闭环管理，智能体权限管理等；通用问答可实现引用溯源；采用“苏政服”用户认证体系，并提供PC端和移动端使用交互界面。</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本次项目所提供的智算资源节点须支持与苏州市电子政务云平台兼容对接，兼容对接所产生的软件授权或定制开发等费用等均由云服务商自行承担。</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1.2.17.</w:t>
      </w:r>
      <w:r>
        <w:rPr>
          <w:rFonts w:ascii="宋体" w:hAnsi="宋体"/>
          <w:b/>
          <w:bCs/>
          <w:sz w:val="21"/>
          <w:szCs w:val="21"/>
        </w:rPr>
        <w:t xml:space="preserve">3.</w:t>
      </w:r>
      <w:r>
        <w:rPr>
          <w:rFonts w:hint="eastAsia" w:ascii="宋体" w:hAnsi="宋体"/>
          <w:b/>
          <w:bCs/>
          <w:sz w:val="21"/>
          <w:szCs w:val="21"/>
        </w:rPr>
        <w:t xml:space="preserve">参数要求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随着人工智能和大模型技术加速深入到政务业务场景（如政务知识库、智能问答、辅助办理、城市智能监测以及应急处置决策等），当前人工智能算力需求存在较大缺口。通过智算服务器提供人工智能算力，为不同的模型参数以及训练和推理不同的作业形式，提供差异化的人工智能算力服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在训练场景下，需要提供具备更高算力密度的人工智能算力服务，要求单算力卡提供较高算力，单台设备需要集成较多AI处理器以提供达到国内领先水平的训练算力，以满足大模型训练需求；在推理场景下，为不同模型参数分别提供不同档位的人工智能算力服务，满足从十亿到千亿不等参数量的大模型推理应用需求。通过AI处理器的算力和显存容量两个关键指标划分为高中低三档，配套服务器基础平台和高速网络发挥AI处理器算力。相关硬件设备参考以下参数要求。</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（1）人工智能-智算服务器A</w:t>
      </w:r>
      <w:r/>
    </w:p>
    <w:tbl>
      <w:tblPr>
        <w:tblStyle w:val="1024"/>
        <w:tblW w:w="4859" w:type="pct"/>
        <w:tblInd w:w="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7"/>
        <w:gridCol w:w="7839"/>
      </w:tblGrid>
      <w:tr>
        <w:trPr>
          <w:trHeight w:val="482"/>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jc w:val="center"/>
              <w:spacing w:line="360" w:lineRule="auto"/>
              <w:widowControl w:val="off"/>
              <w:rPr>
                <w:rFonts w:ascii="宋体" w:hAnsi="宋体" w:cs="仿宋_GB2312"/>
                <w:b/>
                <w:sz w:val="21"/>
                <w:szCs w:val="21"/>
                <w:lang w:bidi="ar"/>
              </w:rPr>
            </w:pPr>
            <w:r>
              <w:rPr>
                <w:rFonts w:hint="eastAsia" w:ascii="宋体" w:hAnsi="宋体" w:cs="仿宋_GB2312"/>
                <w:b/>
                <w:sz w:val="21"/>
                <w:szCs w:val="21"/>
                <w:lang w:bidi="ar"/>
              </w:rPr>
              <w:t xml:space="preserve">指标项</w:t>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jc w:val="center"/>
              <w:spacing w:line="360" w:lineRule="auto"/>
              <w:widowControl w:val="off"/>
              <w:rPr>
                <w:rFonts w:ascii="宋体" w:hAnsi="宋体" w:cs="仿宋_GB2312"/>
                <w:b/>
                <w:sz w:val="21"/>
                <w:szCs w:val="21"/>
                <w:lang w:bidi="ar"/>
              </w:rPr>
            </w:pPr>
            <w:r>
              <w:rPr>
                <w:rFonts w:hint="eastAsia" w:ascii="宋体" w:hAnsi="宋体" w:cs="仿宋_GB2312"/>
                <w:b/>
                <w:sz w:val="21"/>
                <w:szCs w:val="21"/>
                <w:lang w:bidi="ar"/>
              </w:rPr>
              <w:t xml:space="preserve">技术参数要求</w:t>
            </w:r>
            <w:r/>
          </w:p>
        </w:tc>
      </w:tr>
      <w:tr>
        <w:trPr>
          <w:trHeight w:val="482"/>
        </w:trPr>
        <w:tc>
          <w:tcPr>
            <w:tcBorders>
              <w:top w:val="single" w:color="auto" w:sz="4" w:space="0"/>
              <w:left w:val="single" w:color="auto" w:sz="4" w:space="0"/>
              <w:right w:val="single" w:color="auto" w:sz="4" w:space="0"/>
            </w:tcBorders>
            <w:tcW w:w="1954" w:type="dxa"/>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▲配置参数</w:t>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处理器实配≥4颗国产处理器，单颗主频≥2.6GHz，内核数≥48核；</w:t>
            </w:r>
            <w:r/>
          </w:p>
        </w:tc>
      </w:tr>
      <w:tr>
        <w:trPr>
          <w:trHeight w:val="482"/>
        </w:trPr>
        <w:tc>
          <w:tcPr>
            <w:tcBorders>
              <w:left w:val="single" w:color="auto" w:sz="4" w:space="0"/>
              <w:right w:val="single" w:color="auto" w:sz="4" w:space="0"/>
            </w:tcBorders>
            <w:tcW w:w="1954" w:type="dxa"/>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内存实配≥16块*64GB DDR4内存；</w:t>
            </w:r>
            <w:r/>
          </w:p>
        </w:tc>
      </w:tr>
      <w:tr>
        <w:trPr>
          <w:trHeight w:val="482"/>
        </w:trPr>
        <w:tc>
          <w:tcPr>
            <w:tcBorders>
              <w:left w:val="single" w:color="auto" w:sz="4" w:space="0"/>
              <w:right w:val="single" w:color="auto" w:sz="4" w:space="0"/>
            </w:tcBorders>
            <w:tcW w:w="1954" w:type="dxa"/>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硬盘实配≥2*480GB SSD硬盘≥2*3840GB SSD硬盘；</w:t>
            </w:r>
            <w:r/>
          </w:p>
        </w:tc>
      </w:tr>
      <w:tr>
        <w:trPr>
          <w:trHeight w:val="482"/>
        </w:trPr>
        <w:tc>
          <w:tcPr>
            <w:tcBorders>
              <w:left w:val="single" w:color="auto" w:sz="4" w:space="0"/>
              <w:right w:val="single" w:color="auto" w:sz="4" w:space="0"/>
            </w:tcBorders>
            <w:tcW w:w="1954" w:type="dxa"/>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算力配置≥8块AI处理器，单AI处理器提供≥300 TFLOPS FP16 AI非稀疏算力，整机提供≥2.5PFLOPS FP16 AI算力；单AI处理器显存配置≥64GB HBM，整机提供≥512GB高速显存；</w:t>
            </w:r>
            <w:r/>
          </w:p>
        </w:tc>
      </w:tr>
      <w:tr>
        <w:trPr>
          <w:trHeight w:val="482"/>
        </w:trPr>
        <w:tc>
          <w:tcPr>
            <w:tcBorders>
              <w:left w:val="single" w:color="auto" w:sz="4" w:space="0"/>
              <w:bottom w:val="single" w:color="auto" w:sz="4" w:space="0"/>
              <w:right w:val="single" w:color="auto" w:sz="4" w:space="0"/>
            </w:tcBorders>
            <w:tcW w:w="1954" w:type="dxa"/>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多卡互联带宽≥350GB/s；</w:t>
            </w:r>
            <w:r/>
          </w:p>
        </w:tc>
      </w:tr>
      <w:tr>
        <w:trPr>
          <w:trHeight w:val="482"/>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网卡</w:t>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配置≥8个200Gb光口（含200G光模块）；≥4个10Gb/25Gb光口（含25G光模块）；</w:t>
            </w:r>
            <w:r/>
          </w:p>
        </w:tc>
      </w:tr>
    </w:tbl>
    <w:p>
      <w:pPr>
        <w:pStyle w:val="1025"/>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（2）人工智能-智算服务器B</w:t>
      </w:r>
      <w:r/>
    </w:p>
    <w:tbl>
      <w:tblPr>
        <w:tblStyle w:val="1024"/>
        <w:tblW w:w="4859" w:type="pct"/>
        <w:tblInd w:w="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7"/>
        <w:gridCol w:w="7839"/>
      </w:tblGrid>
      <w:tr>
        <w:trPr>
          <w:trHeight w:val="445"/>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jc w:val="center"/>
              <w:spacing w:line="360" w:lineRule="auto"/>
              <w:widowControl w:val="off"/>
              <w:rPr>
                <w:rFonts w:ascii="宋体" w:hAnsi="宋体" w:cs="仿宋_GB2312"/>
                <w:b/>
                <w:sz w:val="21"/>
                <w:szCs w:val="21"/>
                <w:lang w:bidi="ar"/>
              </w:rPr>
            </w:pPr>
            <w:r>
              <w:rPr>
                <w:rFonts w:hint="eastAsia" w:ascii="宋体" w:hAnsi="宋体" w:cs="仿宋_GB2312"/>
                <w:b/>
                <w:sz w:val="21"/>
                <w:szCs w:val="21"/>
                <w:lang w:bidi="ar"/>
              </w:rPr>
              <w:t xml:space="preserve">指标项</w:t>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jc w:val="center"/>
              <w:spacing w:line="360" w:lineRule="auto"/>
              <w:widowControl w:val="off"/>
              <w:rPr>
                <w:rFonts w:ascii="宋体" w:hAnsi="宋体" w:cs="仿宋_GB2312"/>
                <w:b/>
                <w:sz w:val="21"/>
                <w:szCs w:val="21"/>
                <w:lang w:bidi="ar"/>
              </w:rPr>
            </w:pPr>
            <w:r>
              <w:rPr>
                <w:rFonts w:hint="eastAsia" w:ascii="宋体" w:hAnsi="宋体" w:cs="仿宋_GB2312"/>
                <w:b/>
                <w:sz w:val="21"/>
                <w:szCs w:val="21"/>
                <w:lang w:bidi="ar"/>
              </w:rPr>
              <w:t xml:space="preserve">技术参数要求</w:t>
            </w:r>
            <w:r/>
          </w:p>
        </w:tc>
      </w:tr>
      <w:tr>
        <w:trPr>
          <w:trHeight w:val="482"/>
        </w:trPr>
        <w:tc>
          <w:tcPr>
            <w:tcBorders>
              <w:top w:val="single" w:color="auto" w:sz="4" w:space="0"/>
              <w:left w:val="single" w:color="auto" w:sz="4" w:space="0"/>
              <w:right w:val="single" w:color="auto" w:sz="4" w:space="0"/>
            </w:tcBorders>
            <w:tcW w:w="1954" w:type="dxa"/>
            <w:vAlign w:val="center"/>
            <w:vMerge w:val="restart"/>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▲配置参数</w:t>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处理器实配≥4颗国产处理器，单颗主频≥2.6GHz，内核数≥48核；</w:t>
            </w:r>
            <w:r/>
          </w:p>
        </w:tc>
      </w:tr>
      <w:tr>
        <w:trPr>
          <w:trHeight w:val="482"/>
        </w:trPr>
        <w:tc>
          <w:tcPr>
            <w:tcBorders>
              <w:left w:val="single" w:color="auto" w:sz="4" w:space="0"/>
              <w:right w:val="single" w:color="auto" w:sz="4" w:space="0"/>
            </w:tcBorders>
            <w:tcW w:w="1954" w:type="dxa"/>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内存实配≥16块*64GB DDR4内存；</w:t>
            </w:r>
            <w:r/>
          </w:p>
        </w:tc>
      </w:tr>
      <w:tr>
        <w:trPr>
          <w:trHeight w:val="482"/>
        </w:trPr>
        <w:tc>
          <w:tcPr>
            <w:tcBorders>
              <w:left w:val="single" w:color="auto" w:sz="4" w:space="0"/>
              <w:right w:val="single" w:color="auto" w:sz="4" w:space="0"/>
            </w:tcBorders>
            <w:tcW w:w="1954" w:type="dxa"/>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硬盘实配≥2*480GB SSD硬盘≥2*3840GB SSD硬盘；</w:t>
            </w:r>
            <w:r/>
          </w:p>
        </w:tc>
      </w:tr>
      <w:tr>
        <w:trPr>
          <w:trHeight w:val="482"/>
        </w:trPr>
        <w:tc>
          <w:tcPr>
            <w:tcBorders>
              <w:left w:val="single" w:color="auto" w:sz="4" w:space="0"/>
              <w:right w:val="single" w:color="auto" w:sz="4" w:space="0"/>
            </w:tcBorders>
            <w:tcW w:w="1954" w:type="dxa"/>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算力配置≥8块AI处理器，单AI处理器提供≥250 TFLOPS FP16 AI非稀疏算力，整机提供≥2PFLOPS FP16 AI算力；单AI处理器显存配置≥64GB HBM，整机提供≥512GB高速显存；</w:t>
            </w:r>
            <w:r/>
          </w:p>
        </w:tc>
      </w:tr>
      <w:tr>
        <w:trPr>
          <w:trHeight w:val="482"/>
        </w:trPr>
        <w:tc>
          <w:tcPr>
            <w:tcBorders>
              <w:left w:val="single" w:color="auto" w:sz="4" w:space="0"/>
              <w:bottom w:val="single" w:color="auto" w:sz="4" w:space="0"/>
              <w:right w:val="single" w:color="auto" w:sz="4" w:space="0"/>
            </w:tcBorders>
            <w:tcW w:w="1954" w:type="dxa"/>
            <w:vAlign w:val="center"/>
            <w:vMerge w:val="continue"/>
            <w:textDirection w:val="lrTb"/>
            <w:noWrap w:val="false"/>
          </w:tcPr>
          <w:p>
            <w:pPr>
              <w:ind w:left="0"/>
              <w:spacing w:line="360" w:lineRule="auto"/>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多卡互联带宽≥350GB/s；</w:t>
            </w:r>
            <w:r/>
          </w:p>
        </w:tc>
      </w:tr>
      <w:tr>
        <w:trPr>
          <w:trHeight w:val="482"/>
        </w:trPr>
        <w:tc>
          <w:tcPr>
            <w:tcBorders>
              <w:top w:val="single" w:color="auto" w:sz="4" w:space="0"/>
              <w:left w:val="single" w:color="auto" w:sz="4" w:space="0"/>
              <w:bottom w:val="single" w:color="auto" w:sz="4" w:space="0"/>
              <w:right w:val="single" w:color="auto" w:sz="4" w:space="0"/>
            </w:tcBorders>
            <w:tcW w:w="1954"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网卡</w:t>
            </w:r>
            <w:r/>
          </w:p>
        </w:tc>
        <w:tc>
          <w:tcPr>
            <w:tcBorders>
              <w:top w:val="single" w:color="auto" w:sz="4" w:space="0"/>
              <w:left w:val="single" w:color="auto" w:sz="4" w:space="0"/>
              <w:bottom w:val="single" w:color="auto" w:sz="4" w:space="0"/>
              <w:right w:val="single" w:color="auto" w:sz="4" w:space="0"/>
            </w:tcBorders>
            <w:tcW w:w="7842" w:type="dxa"/>
            <w:vAlign w:val="center"/>
            <w:textDirection w:val="lrTb"/>
            <w:noWrap w:val="false"/>
          </w:tcPr>
          <w:p>
            <w:pPr>
              <w:ind w:left="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配置≥8个200Gb光口（含200G光模块）；≥4个10Gb/25Gb光口（含25G光模块）；</w:t>
            </w:r>
            <w:r/>
          </w:p>
        </w:tc>
      </w:tr>
    </w:tbl>
    <w:p>
      <w:pPr>
        <w:pStyle w:val="1025"/>
        <w:numPr>
          <w:ilvl w:val="255"/>
          <w:numId w:val="0"/>
        </w:numPr>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（3）人工智能-智算服务器C</w:t>
      </w:r>
      <w:r/>
    </w:p>
    <w:tbl>
      <w:tblPr>
        <w:tblStyle w:val="1024"/>
        <w:tblW w:w="4859" w:type="pct"/>
        <w:tblInd w:w="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0"/>
        <w:gridCol w:w="7866"/>
      </w:tblGrid>
      <w:tr>
        <w:trPr>
          <w:trHeight w:val="482"/>
        </w:trPr>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ind w:left="0"/>
              <w:jc w:val="center"/>
              <w:widowControl w:val="off"/>
              <w:rPr>
                <w:rFonts w:ascii="宋体" w:hAnsi="宋体" w:cs="仿宋_GB2312"/>
                <w:b/>
                <w:sz w:val="21"/>
                <w:szCs w:val="21"/>
                <w:lang w:bidi="ar"/>
              </w:rPr>
            </w:pPr>
            <w:r>
              <w:rPr>
                <w:rFonts w:hint="eastAsia" w:ascii="宋体" w:hAnsi="宋体" w:cs="仿宋_GB2312"/>
                <w:b/>
                <w:sz w:val="21"/>
                <w:szCs w:val="21"/>
                <w:lang w:bidi="ar"/>
              </w:rPr>
              <w:t xml:space="preserve">指标项</w:t>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jc w:val="center"/>
              <w:widowControl w:val="off"/>
              <w:rPr>
                <w:rFonts w:ascii="宋体" w:hAnsi="宋体" w:cs="仿宋_GB2312"/>
                <w:b/>
                <w:sz w:val="21"/>
                <w:szCs w:val="21"/>
                <w:lang w:bidi="ar"/>
              </w:rPr>
            </w:pPr>
            <w:r>
              <w:rPr>
                <w:rFonts w:hint="eastAsia" w:ascii="宋体" w:hAnsi="宋体" w:cs="仿宋_GB2312"/>
                <w:b/>
                <w:sz w:val="21"/>
                <w:szCs w:val="21"/>
                <w:lang w:bidi="ar"/>
              </w:rPr>
              <w:t xml:space="preserve">技术参数要求</w:t>
            </w:r>
            <w:r/>
          </w:p>
        </w:tc>
      </w:tr>
      <w:tr>
        <w:trPr>
          <w:trHeight w:val="482"/>
        </w:trPr>
        <w:tc>
          <w:tcPr>
            <w:tcBorders>
              <w:top w:val="single" w:color="auto" w:sz="4" w:space="0"/>
              <w:left w:val="single" w:color="auto" w:sz="4" w:space="0"/>
              <w:right w:val="single" w:color="auto" w:sz="4" w:space="0"/>
            </w:tcBorders>
            <w:tcW w:w="1927" w:type="dxa"/>
            <w:vAlign w:val="center"/>
            <w:vMerge w:val="restart"/>
            <w:textDirection w:val="lrTb"/>
            <w:noWrap w:val="false"/>
          </w:tcPr>
          <w:p>
            <w:pPr>
              <w:ind w:left="0"/>
              <w:jc w:val="left"/>
              <w:rPr>
                <w:rFonts w:ascii="宋体" w:hAnsi="宋体" w:cs="仿宋_GB2312"/>
                <w:bCs/>
                <w:sz w:val="21"/>
                <w:szCs w:val="21"/>
                <w:lang w:bidi="ar"/>
              </w:rPr>
            </w:pPr>
            <w:r>
              <w:rPr>
                <w:rFonts w:hint="eastAsia" w:ascii="宋体" w:hAnsi="宋体" w:cs="仿宋_GB2312"/>
                <w:bCs/>
                <w:sz w:val="21"/>
                <w:szCs w:val="21"/>
                <w:lang w:bidi="ar"/>
              </w:rPr>
              <w:t xml:space="preserve">▲配置参数</w:t>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处理器实配≥2颗国产处理器，单颗主频≥2.6GHz，内核数64核；</w:t>
            </w:r>
            <w:r/>
          </w:p>
        </w:tc>
      </w:tr>
      <w:tr>
        <w:trPr>
          <w:trHeight w:val="482"/>
        </w:trPr>
        <w:tc>
          <w:tcPr>
            <w:tcBorders>
              <w:left w:val="single" w:color="auto" w:sz="4" w:space="0"/>
              <w:right w:val="single" w:color="auto" w:sz="4" w:space="0"/>
            </w:tcBorders>
            <w:tcW w:w="1927" w:type="dxa"/>
            <w:vAlign w:val="center"/>
            <w:vMerge w:val="continue"/>
            <w:textDirection w:val="lrTb"/>
            <w:noWrap w:val="false"/>
          </w:tcPr>
          <w:p>
            <w:pPr>
              <w:ind w:left="0"/>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内存实配≥16块*32GB DDR4内存；</w:t>
            </w:r>
            <w:r/>
          </w:p>
        </w:tc>
      </w:tr>
      <w:tr>
        <w:trPr>
          <w:trHeight w:val="482"/>
        </w:trPr>
        <w:tc>
          <w:tcPr>
            <w:tcBorders>
              <w:left w:val="single" w:color="auto" w:sz="4" w:space="0"/>
              <w:right w:val="single" w:color="auto" w:sz="4" w:space="0"/>
            </w:tcBorders>
            <w:tcW w:w="1927" w:type="dxa"/>
            <w:vAlign w:val="center"/>
            <w:vMerge w:val="continue"/>
            <w:textDirection w:val="lrTb"/>
            <w:noWrap w:val="false"/>
          </w:tcPr>
          <w:p>
            <w:pPr>
              <w:ind w:left="0"/>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硬盘实配≥2*480GB SSD硬盘；</w:t>
            </w:r>
            <w:r/>
          </w:p>
        </w:tc>
      </w:tr>
      <w:tr>
        <w:trPr>
          <w:trHeight w:val="482"/>
        </w:trPr>
        <w:tc>
          <w:tcPr>
            <w:tcBorders>
              <w:left w:val="single" w:color="auto" w:sz="4" w:space="0"/>
              <w:right w:val="single" w:color="auto" w:sz="4" w:space="0"/>
            </w:tcBorders>
            <w:tcW w:w="1927" w:type="dxa"/>
            <w:vAlign w:val="center"/>
            <w:vMerge w:val="continue"/>
            <w:textDirection w:val="lrTb"/>
            <w:noWrap w:val="false"/>
          </w:tcPr>
          <w:p>
            <w:pPr>
              <w:ind w:left="0"/>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算力配置≥6块AI处理器，单AI处理器提供≥70 TFLOPS FP16 AI非稀疏算力，整机提供≥400TFLOPS FP16 AI算力；单AI处理器显存配置≥40GB，整机提供≥240GB显存；</w:t>
            </w:r>
            <w:r/>
          </w:p>
        </w:tc>
      </w:tr>
      <w:tr>
        <w:trPr>
          <w:trHeight w:val="482"/>
        </w:trPr>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网卡</w:t>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配置≥4个10Gb/25Gb光口（含25G光模块）；</w:t>
            </w:r>
            <w:r/>
          </w:p>
        </w:tc>
      </w:tr>
    </w:tbl>
    <w:p>
      <w:pPr>
        <w:pStyle w:val="1025"/>
        <w:numPr>
          <w:ilvl w:val="255"/>
          <w:numId w:val="0"/>
        </w:numPr>
        <w:ind w:left="480"/>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（4）人工智能-智算服务器D</w:t>
      </w:r>
      <w:r/>
    </w:p>
    <w:tbl>
      <w:tblPr>
        <w:tblStyle w:val="1024"/>
        <w:tblW w:w="4859" w:type="pct"/>
        <w:tblInd w:w="1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30"/>
        <w:gridCol w:w="7866"/>
      </w:tblGrid>
      <w:tr>
        <w:trPr>
          <w:trHeight w:val="482"/>
        </w:trPr>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ind w:left="0"/>
              <w:jc w:val="center"/>
              <w:widowControl w:val="off"/>
              <w:rPr>
                <w:rFonts w:ascii="宋体" w:hAnsi="宋体" w:cs="仿宋_GB2312"/>
                <w:b/>
                <w:sz w:val="21"/>
                <w:szCs w:val="21"/>
                <w:lang w:bidi="ar"/>
              </w:rPr>
            </w:pPr>
            <w:r>
              <w:rPr>
                <w:rFonts w:hint="eastAsia" w:ascii="宋体" w:hAnsi="宋体" w:cs="仿宋_GB2312"/>
                <w:b/>
                <w:sz w:val="21"/>
                <w:szCs w:val="21"/>
                <w:lang w:bidi="ar"/>
              </w:rPr>
              <w:t xml:space="preserve">指标项</w:t>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jc w:val="center"/>
              <w:widowControl w:val="off"/>
              <w:rPr>
                <w:rFonts w:ascii="宋体" w:hAnsi="宋体" w:cs="仿宋_GB2312"/>
                <w:b/>
                <w:sz w:val="21"/>
                <w:szCs w:val="21"/>
                <w:lang w:bidi="ar"/>
              </w:rPr>
            </w:pPr>
            <w:r>
              <w:rPr>
                <w:rFonts w:hint="eastAsia" w:ascii="宋体" w:hAnsi="宋体" w:cs="仿宋_GB2312"/>
                <w:b/>
                <w:sz w:val="21"/>
                <w:szCs w:val="21"/>
                <w:lang w:bidi="ar"/>
              </w:rPr>
              <w:t xml:space="preserve">技术参数要求</w:t>
            </w:r>
            <w:r/>
          </w:p>
        </w:tc>
      </w:tr>
      <w:tr>
        <w:trPr>
          <w:trHeight w:val="482"/>
        </w:trPr>
        <w:tc>
          <w:tcPr>
            <w:tcBorders>
              <w:top w:val="single" w:color="auto" w:sz="4" w:space="0"/>
              <w:left w:val="single" w:color="auto" w:sz="4" w:space="0"/>
              <w:right w:val="single" w:color="auto" w:sz="4" w:space="0"/>
            </w:tcBorders>
            <w:tcW w:w="1927" w:type="dxa"/>
            <w:vAlign w:val="center"/>
            <w:vMerge w:val="restart"/>
            <w:textDirection w:val="lrTb"/>
            <w:noWrap w:val="false"/>
          </w:tcPr>
          <w:p>
            <w:pPr>
              <w:ind w:left="0"/>
              <w:rPr>
                <w:rFonts w:ascii="宋体" w:hAnsi="宋体" w:cs="仿宋_GB2312"/>
                <w:bCs/>
                <w:sz w:val="21"/>
                <w:szCs w:val="21"/>
                <w:lang w:bidi="ar"/>
              </w:rPr>
            </w:pPr>
            <w:r>
              <w:rPr>
                <w:rFonts w:hint="eastAsia" w:ascii="宋体" w:hAnsi="宋体" w:cs="仿宋_GB2312"/>
                <w:bCs/>
                <w:sz w:val="21"/>
                <w:szCs w:val="21"/>
                <w:lang w:bidi="ar"/>
              </w:rPr>
              <w:t xml:space="preserve">▲配置参数</w:t>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处理器实配≥2颗国产处理器，单颗主频≥2.6GHz，内核数48核；</w:t>
            </w:r>
            <w:r/>
          </w:p>
        </w:tc>
      </w:tr>
      <w:tr>
        <w:trPr>
          <w:trHeight w:val="482"/>
        </w:trPr>
        <w:tc>
          <w:tcPr>
            <w:tcBorders>
              <w:left w:val="single" w:color="auto" w:sz="4" w:space="0"/>
              <w:right w:val="single" w:color="auto" w:sz="4" w:space="0"/>
            </w:tcBorders>
            <w:tcW w:w="1927" w:type="dxa"/>
            <w:vAlign w:val="center"/>
            <w:vMerge w:val="continue"/>
            <w:textDirection w:val="lrTb"/>
            <w:noWrap w:val="false"/>
          </w:tcPr>
          <w:p>
            <w:pPr>
              <w:ind w:left="0"/>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内存实配≥16块*64GB DDR4内存；</w:t>
            </w:r>
            <w:r/>
          </w:p>
        </w:tc>
      </w:tr>
      <w:tr>
        <w:trPr>
          <w:trHeight w:val="482"/>
        </w:trPr>
        <w:tc>
          <w:tcPr>
            <w:tcBorders>
              <w:left w:val="single" w:color="auto" w:sz="4" w:space="0"/>
              <w:right w:val="single" w:color="auto" w:sz="4" w:space="0"/>
            </w:tcBorders>
            <w:tcW w:w="1927" w:type="dxa"/>
            <w:vAlign w:val="center"/>
            <w:vMerge w:val="continue"/>
            <w:textDirection w:val="lrTb"/>
            <w:noWrap w:val="false"/>
          </w:tcPr>
          <w:p>
            <w:pPr>
              <w:ind w:left="0"/>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硬盘实配≥2*480GB SSD硬盘；</w:t>
            </w:r>
            <w:r/>
          </w:p>
        </w:tc>
      </w:tr>
      <w:tr>
        <w:trPr>
          <w:trHeight w:val="482"/>
        </w:trPr>
        <w:tc>
          <w:tcPr>
            <w:tcBorders>
              <w:left w:val="single" w:color="auto" w:sz="4" w:space="0"/>
              <w:right w:val="single" w:color="auto" w:sz="4" w:space="0"/>
            </w:tcBorders>
            <w:tcW w:w="1927" w:type="dxa"/>
            <w:vAlign w:val="center"/>
            <w:vMerge w:val="continue"/>
            <w:textDirection w:val="lrTb"/>
            <w:noWrap w:val="false"/>
          </w:tcPr>
          <w:p>
            <w:pPr>
              <w:ind w:left="0"/>
              <w:widowControl w:val="off"/>
              <w:rPr>
                <w:rFonts w:ascii="宋体" w:hAnsi="宋体" w:cs="仿宋_GB2312"/>
                <w:bCs/>
                <w:sz w:val="21"/>
                <w:szCs w:val="21"/>
                <w:lang w:bidi="ar"/>
              </w:rPr>
            </w:pPr>
            <w:r>
              <w:rPr>
                <w:rFonts w:ascii="宋体" w:hAnsi="宋体" w:cs="仿宋_GB2312"/>
                <w:bCs/>
                <w:sz w:val="21"/>
                <w:szCs w:val="21"/>
                <w:lang w:bidi="ar"/>
              </w:rPr>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算力配置≥8块AI处理器，单AI处理器提供≥140TFLOPS FP16 AI非稀疏算力，整机提供≥1PFLOPS FP16 AI算力；单AI处理器显存配置≥90GB，整机提供≥700GB显存；</w:t>
            </w:r>
            <w:r/>
          </w:p>
        </w:tc>
      </w:tr>
      <w:tr>
        <w:trPr>
          <w:trHeight w:val="482"/>
        </w:trPr>
        <w:tc>
          <w:tcPr>
            <w:tcBorders>
              <w:top w:val="single" w:color="auto" w:sz="4" w:space="0"/>
              <w:left w:val="single" w:color="auto" w:sz="4" w:space="0"/>
              <w:bottom w:val="single" w:color="auto" w:sz="4" w:space="0"/>
              <w:right w:val="single" w:color="auto" w:sz="4" w:space="0"/>
            </w:tcBorders>
            <w:tcW w:w="1927"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网卡</w:t>
            </w:r>
            <w:r/>
          </w:p>
        </w:tc>
        <w:tc>
          <w:tcPr>
            <w:tcBorders>
              <w:top w:val="single" w:color="auto" w:sz="4" w:space="0"/>
              <w:left w:val="single" w:color="auto" w:sz="4" w:space="0"/>
              <w:bottom w:val="single" w:color="auto" w:sz="4" w:space="0"/>
              <w:right w:val="single" w:color="auto" w:sz="4" w:space="0"/>
            </w:tcBorders>
            <w:tcW w:w="7869" w:type="dxa"/>
            <w:vAlign w:val="center"/>
            <w:textDirection w:val="lrTb"/>
            <w:noWrap w:val="false"/>
          </w:tcPr>
          <w:p>
            <w:pPr>
              <w:ind w:left="0"/>
              <w:widowControl w:val="off"/>
              <w:rPr>
                <w:rFonts w:ascii="宋体" w:hAnsi="宋体" w:cs="仿宋_GB2312"/>
                <w:bCs/>
                <w:sz w:val="21"/>
                <w:szCs w:val="21"/>
                <w:lang w:bidi="ar"/>
              </w:rPr>
            </w:pPr>
            <w:r>
              <w:rPr>
                <w:rFonts w:hint="eastAsia" w:ascii="宋体" w:hAnsi="宋体" w:cs="仿宋_GB2312"/>
                <w:bCs/>
                <w:sz w:val="21"/>
                <w:szCs w:val="21"/>
                <w:lang w:bidi="ar"/>
              </w:rPr>
              <w:t xml:space="preserve">配置≥4个10Gb/25Gb光口（含25G光模块）；</w:t>
            </w:r>
            <w:r/>
          </w:p>
        </w:tc>
      </w:tr>
    </w:tbl>
    <w:p>
      <w:pPr>
        <w:pStyle w:val="1025"/>
        <w:numPr>
          <w:ilvl w:val="255"/>
          <w:numId w:val="0"/>
        </w:numPr>
        <w:ind w:left="480"/>
        <w:rPr>
          <w:rFonts w:ascii="宋体" w:hAnsi="宋体"/>
          <w:sz w:val="21"/>
          <w:szCs w:val="21"/>
        </w:rPr>
      </w:pPr>
      <w:r>
        <w:rPr>
          <w:rFonts w:ascii="宋体" w:hAnsi="宋体"/>
          <w:sz w:val="21"/>
          <w:szCs w:val="21"/>
        </w:rPr>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1.2.18.单数据中心备份</w:t>
      </w:r>
      <w:r/>
    </w:p>
    <w:p>
      <w:pPr>
        <w:ind w:left="0" w:firstLine="420"/>
        <w:spacing w:line="360" w:lineRule="auto"/>
        <w:widowControl w:val="off"/>
        <w:rPr>
          <w:rFonts w:ascii="宋体" w:hAnsi="宋体" w:cs="仿宋_GB2312"/>
          <w:bCs/>
          <w:sz w:val="21"/>
          <w:szCs w:val="21"/>
        </w:rPr>
      </w:pPr>
      <w:r>
        <w:rPr>
          <w:rFonts w:hint="eastAsia" w:ascii="宋体" w:hAnsi="宋体" w:cs="仿宋_GB2312"/>
          <w:bCs/>
          <w:sz w:val="21"/>
          <w:szCs w:val="21"/>
          <w:lang w:bidi="ar"/>
        </w:rPr>
        <w:t xml:space="preserve">对苏州市国产化政务云资源池承载的重要业务系统进行备份保护。</w:t>
      </w:r>
      <w:r/>
    </w:p>
    <w:p>
      <w:pPr>
        <w:ind w:left="0" w:firstLine="42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云全栈备份服务提供云内全栈业务数据保护能力。能为云内原生应用弹性云主机、文件存储、对象存储以及用户在云主机内自建数据库、文件提供备份服务。备份数据支持常规恢复、即时恢复、即时挂载，以及细粒度恢复。支持备份副本归档到对象存储。</w:t>
      </w:r>
      <w:r/>
    </w:p>
    <w:p>
      <w:pPr>
        <w:ind w:left="0" w:firstLine="42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云服务器备份服务，云服务器备份可为弹性云服务器和裸金属服务器创建备份（备份内容包括弹性云服务器和裸金属服务器的配置规格，系统盘和数据盘的数据）。</w:t>
      </w:r>
      <w:r/>
    </w:p>
    <w:p>
      <w:pPr>
        <w:ind w:left="0" w:firstLine="42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云硬盘备份服务，云硬盘备份服务可为云硬盘创建备份，利用备份数据恢复云硬盘，最大限度保障用户数据的安全性和正确性，确保业务安全。</w:t>
      </w:r>
      <w:r/>
    </w:p>
    <w:p>
      <w:pPr>
        <w:ind w:left="0" w:firstLine="420"/>
        <w:spacing w:line="360" w:lineRule="auto"/>
        <w:widowControl w:val="off"/>
        <w:rPr>
          <w:rFonts w:ascii="宋体" w:hAnsi="宋体" w:cs="仿宋_GB2312"/>
          <w:sz w:val="21"/>
          <w:szCs w:val="21"/>
        </w:rPr>
      </w:pPr>
      <w:r>
        <w:rPr>
          <w:rFonts w:hint="eastAsia" w:ascii="宋体" w:hAnsi="宋体" w:cs="仿宋_GB2312"/>
          <w:bCs/>
          <w:sz w:val="21"/>
          <w:szCs w:val="21"/>
          <w:lang w:bidi="ar"/>
        </w:rPr>
        <w:t xml:space="preserve">业务数据备份，对核心业务系统采用CDP持续数据保护，保障任意时间点增量数据的完整性；对非核心业务系统采用定时保护，可按照分/时/天/周设置不同时间间隔的备份策略对业务数据进行本数据中心内的CDP备份，</w:t>
      </w:r>
      <w:r>
        <w:rPr>
          <w:rFonts w:hint="eastAsia" w:ascii="宋体" w:hAnsi="宋体" w:cs="仿宋_GB2312"/>
          <w:sz w:val="21"/>
          <w:szCs w:val="21"/>
        </w:rPr>
        <w:t xml:space="preserve">同时可支持备份数据的验证、备份恢复演练。</w:t>
      </w:r>
      <w:r/>
    </w:p>
    <w:p>
      <w:pPr>
        <w:ind w:left="0" w:firstLine="420"/>
        <w:spacing w:line="360" w:lineRule="auto"/>
        <w:widowControl w:val="off"/>
        <w:rPr>
          <w:rFonts w:ascii="宋体" w:hAnsi="宋体" w:cs="仿宋_GB2312"/>
          <w:bCs/>
          <w:sz w:val="21"/>
          <w:szCs w:val="21"/>
          <w:lang w:bidi="ar"/>
        </w:rPr>
      </w:pPr>
      <w:r>
        <w:rPr>
          <w:rFonts w:hint="eastAsia" w:ascii="宋体" w:hAnsi="宋体" w:cs="仿宋_GB2312"/>
          <w:bCs/>
          <w:sz w:val="21"/>
          <w:szCs w:val="21"/>
          <w:lang w:bidi="ar"/>
        </w:rPr>
        <w:t xml:space="preserve">数据库备份，支持对国产化数据库的全量数据保护与增量数据保护，支持数据库的快速恢复重建、备份数据验证及备份恢复演练。</w:t>
      </w:r>
      <w:r/>
    </w:p>
    <w:tbl>
      <w:tblPr>
        <w:tblStyle w:val="10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1385"/>
        <w:gridCol w:w="7443"/>
      </w:tblGrid>
      <w:tr>
        <w:trPr>
          <w:jc w:val="center"/>
          <w:trHeight w:val="92"/>
        </w:trPr>
        <w:tc>
          <w:tcPr>
            <w:tcW w:w="619" w:type="pct"/>
            <w:textDirection w:val="lrTb"/>
            <w:noWrap w:val="false"/>
          </w:tcPr>
          <w:p>
            <w:pPr>
              <w:ind w:left="0"/>
              <w:jc w:val="center"/>
              <w:spacing w:before="166" w:after="166"/>
              <w:widowControl w:val="off"/>
              <w:rPr>
                <w:rFonts w:ascii="宋体" w:hAnsi="宋体" w:cs="仿宋_GB2312"/>
                <w:b/>
                <w:sz w:val="21"/>
                <w:szCs w:val="21"/>
              </w:rPr>
            </w:pPr>
            <w:r>
              <w:rPr>
                <w:rFonts w:hint="eastAsia" w:ascii="宋体" w:hAnsi="宋体" w:cs="仿宋_GB2312"/>
                <w:b/>
                <w:sz w:val="21"/>
                <w:szCs w:val="21"/>
              </w:rPr>
              <w:t xml:space="preserve">类别</w:t>
            </w:r>
            <w:r/>
          </w:p>
        </w:tc>
        <w:tc>
          <w:tcPr>
            <w:tcW w:w="687" w:type="pct"/>
            <w:vAlign w:val="center"/>
            <w:textDirection w:val="lrTb"/>
            <w:noWrap w:val="false"/>
          </w:tcPr>
          <w:p>
            <w:pPr>
              <w:ind w:left="0"/>
              <w:jc w:val="center"/>
              <w:spacing w:before="166" w:after="166"/>
              <w:widowControl w:val="off"/>
              <w:rPr>
                <w:rFonts w:ascii="宋体" w:hAnsi="宋体" w:cs="仿宋_GB2312"/>
                <w:b/>
                <w:sz w:val="21"/>
                <w:szCs w:val="21"/>
              </w:rPr>
            </w:pPr>
            <w:r>
              <w:rPr>
                <w:rFonts w:hint="eastAsia" w:ascii="宋体" w:hAnsi="宋体" w:cs="仿宋_GB2312"/>
                <w:b/>
                <w:sz w:val="21"/>
                <w:szCs w:val="21"/>
              </w:rPr>
              <w:t xml:space="preserve">指标项</w:t>
            </w:r>
            <w:r/>
          </w:p>
        </w:tc>
        <w:tc>
          <w:tcPr>
            <w:tcW w:w="3692" w:type="pct"/>
            <w:vAlign w:val="center"/>
            <w:textDirection w:val="lrTb"/>
            <w:noWrap w:val="false"/>
          </w:tcPr>
          <w:p>
            <w:pPr>
              <w:ind w:left="0"/>
              <w:jc w:val="center"/>
              <w:spacing w:before="166" w:after="166"/>
              <w:widowControl w:val="off"/>
              <w:rPr>
                <w:rFonts w:ascii="宋体" w:hAnsi="宋体" w:cs="仿宋_GB2312"/>
                <w:b/>
                <w:sz w:val="21"/>
                <w:szCs w:val="21"/>
              </w:rPr>
            </w:pPr>
            <w:r>
              <w:rPr>
                <w:rFonts w:hint="eastAsia" w:ascii="宋体" w:hAnsi="宋体" w:cs="仿宋_GB2312"/>
                <w:b/>
                <w:sz w:val="21"/>
                <w:szCs w:val="21"/>
              </w:rPr>
              <w:t xml:space="preserve">技术参数要求</w:t>
            </w:r>
            <w:r/>
          </w:p>
        </w:tc>
      </w:tr>
      <w:tr>
        <w:trPr>
          <w:jc w:val="center"/>
          <w:trHeight w:val="346"/>
        </w:trPr>
        <w:tc>
          <w:tcPr>
            <w:tcW w:w="619" w:type="pct"/>
            <w:vAlign w:val="center"/>
            <w:vMerge w:val="restart"/>
            <w:textDirection w:val="lrTb"/>
            <w:noWrap w:val="false"/>
          </w:tcPr>
          <w:p>
            <w:pPr>
              <w:ind w:left="0"/>
              <w:jc w:val="center"/>
              <w:widowControl w:val="off"/>
              <w:rPr>
                <w:rFonts w:ascii="宋体" w:hAnsi="宋体" w:cs="仿宋_GB2312"/>
                <w:sz w:val="21"/>
                <w:szCs w:val="21"/>
              </w:rPr>
            </w:pPr>
            <w:r>
              <w:rPr>
                <w:rFonts w:hint="eastAsia" w:ascii="宋体" w:hAnsi="宋体" w:cs="仿宋_GB2312"/>
                <w:bCs/>
                <w:sz w:val="21"/>
                <w:szCs w:val="21"/>
                <w:lang w:bidi="ar"/>
              </w:rPr>
              <w:t xml:space="preserve">云服务器、云硬盘备份</w:t>
            </w:r>
            <w:r/>
          </w:p>
        </w:tc>
        <w:tc>
          <w:tcPr>
            <w:tcW w:w="687" w:type="pct"/>
            <w:vAlign w:val="center"/>
            <w:vMerge w:val="restart"/>
            <w:textDirection w:val="lrTb"/>
            <w:noWrap w:val="false"/>
          </w:tcPr>
          <w:p>
            <w:pPr>
              <w:ind w:left="0"/>
              <w:jc w:val="center"/>
              <w:widowControl w:val="off"/>
              <w:rPr>
                <w:rFonts w:ascii="宋体" w:hAnsi="宋体" w:cs="仿宋_GB2312"/>
                <w:sz w:val="21"/>
                <w:szCs w:val="21"/>
              </w:rPr>
            </w:pPr>
            <w:r>
              <w:rPr>
                <w:rFonts w:hint="eastAsia" w:ascii="宋体" w:hAnsi="宋体" w:cs="仿宋_GB2312"/>
                <w:sz w:val="21"/>
                <w:szCs w:val="21"/>
              </w:rPr>
              <w:t xml:space="preserve">基本要求</w:t>
            </w:r>
            <w:r/>
          </w:p>
        </w:tc>
        <w:tc>
          <w:tcPr>
            <w:tcW w:w="3692" w:type="pct"/>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需提供云备份服务，支持云服务器、云硬盘等备份服务。</w:t>
            </w:r>
            <w:r/>
          </w:p>
        </w:tc>
      </w:tr>
      <w:tr>
        <w:trPr>
          <w:jc w:val="center"/>
          <w:trHeight w:val="389"/>
        </w:trPr>
        <w:tc>
          <w:tcPr>
            <w:tcW w:w="619" w:type="pct"/>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tcW w:w="687" w:type="pct"/>
            <w:vAlign w:val="center"/>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tcW w:w="3692" w:type="pct"/>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用户可以通过管理平台申请为指定的虚拟机或者虚拟机的磁盘做备份。 </w:t>
            </w:r>
            <w:r/>
          </w:p>
        </w:tc>
      </w:tr>
      <w:tr>
        <w:trPr>
          <w:jc w:val="center"/>
          <w:trHeight w:val="840"/>
        </w:trPr>
        <w:tc>
          <w:tcPr>
            <w:tcW w:w="619" w:type="pct"/>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tcW w:w="687" w:type="pct"/>
            <w:vAlign w:val="center"/>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tcW w:w="3692" w:type="pct"/>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用户可以自行设置备份策略，包括备份周期、执行时间点、备份时保留的副本数目（或者每个副本保留多长时间）、全备/增备策略，将数据备份到其它机房的备份周期等。</w:t>
            </w:r>
            <w:r/>
          </w:p>
        </w:tc>
      </w:tr>
      <w:tr>
        <w:trPr>
          <w:jc w:val="center"/>
          <w:trHeight w:val="239"/>
        </w:trPr>
        <w:tc>
          <w:tcPr>
            <w:tcW w:w="619" w:type="pct"/>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tcW w:w="687" w:type="pct"/>
            <w:vAlign w:val="center"/>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tcW w:w="3692" w:type="pct"/>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用户可以选择特定的备份策略进行手动备份。</w:t>
            </w:r>
            <w:r/>
          </w:p>
        </w:tc>
      </w:tr>
      <w:tr>
        <w:trPr>
          <w:jc w:val="center"/>
          <w:trHeight w:val="840"/>
        </w:trPr>
        <w:tc>
          <w:tcPr>
            <w:tcW w:w="619" w:type="pct"/>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tcW w:w="687" w:type="pct"/>
            <w:vAlign w:val="center"/>
            <w:vMerge w:val="continue"/>
            <w:textDirection w:val="lrTb"/>
            <w:noWrap w:val="false"/>
          </w:tcPr>
          <w:p>
            <w:pPr>
              <w:ind w:left="0"/>
              <w:jc w:val="center"/>
              <w:widowControl w:val="off"/>
              <w:rPr>
                <w:rFonts w:ascii="宋体" w:hAnsi="宋体" w:cs="仿宋_GB2312"/>
                <w:sz w:val="21"/>
                <w:szCs w:val="21"/>
              </w:rPr>
            </w:pPr>
            <w:r>
              <w:rPr>
                <w:rFonts w:ascii="宋体" w:hAnsi="宋体" w:cs="仿宋_GB2312"/>
                <w:sz w:val="21"/>
                <w:szCs w:val="21"/>
              </w:rPr>
            </w:r>
            <w:r/>
          </w:p>
        </w:tc>
        <w:tc>
          <w:tcPr>
            <w:tcW w:w="3692" w:type="pct"/>
            <w:vAlign w:val="center"/>
            <w:textDirection w:val="lrTb"/>
            <w:noWrap w:val="false"/>
          </w:tcPr>
          <w:p>
            <w:pPr>
              <w:ind w:left="0"/>
              <w:jc w:val="left"/>
              <w:widowControl w:val="off"/>
              <w:rPr>
                <w:rFonts w:ascii="宋体" w:hAnsi="宋体" w:cs="仿宋_GB2312"/>
                <w:sz w:val="21"/>
                <w:szCs w:val="21"/>
              </w:rPr>
            </w:pPr>
            <w:r>
              <w:rPr>
                <w:rFonts w:hint="eastAsia" w:ascii="宋体" w:hAnsi="宋体" w:cs="仿宋_GB2312"/>
                <w:sz w:val="21"/>
                <w:szCs w:val="21"/>
              </w:rPr>
              <w:t xml:space="preserve">用户可以通过管理平台管理备份数据，包括删除特定备份数据、恢复指定时间点的备份数据等，支持管理员创建虚拟数据中心时指定备份服务的备份空间配额，指定用户最大可使用的备份空间，避免用户滥用资源。</w:t>
            </w:r>
            <w:r/>
          </w:p>
        </w:tc>
      </w:tr>
    </w:tbl>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其他备份相关功能需求如下：</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（1）提供基于数据同步点与基于各种历史版本快照点，对不同服务器故障导致业务宕机实现分级保护。</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（2）对业务系统备份可达到秒级同步，支持各种应用环境一体化备份，实现资源池承载的业务系统各个业务服务器的系统安全与数据安全的双重保护。</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（3）容灾备份云服务可以实现对虚拟机、物理机、数据库的整机恢复、磁盘恢复和文件恢复等各种恢复机制，快速实现不同状态及不同需求的数据及系统恢复。</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1.2.19.迁移适配资源要求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为满足业务迁移需求，通过全栈适配与系统性迁移，构建符合政务标准的云底座资源，确保迁移后系统性能稳定、业务连续，不影响政务服务正常运转。</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迁移适配资源要求如下：</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1.2.19.</w:t>
      </w:r>
      <w:r>
        <w:rPr>
          <w:rFonts w:ascii="宋体" w:hAnsi="宋体"/>
          <w:b/>
          <w:bCs/>
          <w:sz w:val="21"/>
          <w:szCs w:val="21"/>
        </w:rPr>
        <w:t xml:space="preserve">1.</w:t>
      </w:r>
      <w:r>
        <w:rPr>
          <w:rFonts w:hint="eastAsia" w:ascii="宋体" w:hAnsi="宋体"/>
          <w:b/>
          <w:bCs/>
          <w:sz w:val="21"/>
          <w:szCs w:val="21"/>
        </w:rPr>
        <w:t xml:space="preserve">迁移服务器</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w:t>
      </w:r>
      <w:r>
        <w:rPr>
          <w:rFonts w:ascii="宋体" w:hAnsi="宋体"/>
          <w:b/>
          <w:bCs/>
          <w:sz w:val="21"/>
          <w:szCs w:val="21"/>
        </w:rPr>
        <w:t xml:space="preserve">1.</w:t>
      </w:r>
      <w:r>
        <w:rPr>
          <w:rFonts w:hint="eastAsia" w:ascii="宋体" w:hAnsi="宋体"/>
          <w:b/>
          <w:bCs/>
          <w:sz w:val="21"/>
          <w:szCs w:val="21"/>
        </w:rPr>
        <w:t xml:space="preserve">1.功能要求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服务器需适配软件生态，确保与云平台、操作系统中间件软件等深度兼容，需具备高性能和弹性扩展能力，满足云平台对计算、存储、网络资源的动态调度需求。</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w:t>
      </w:r>
      <w:r>
        <w:rPr>
          <w:rFonts w:ascii="宋体" w:hAnsi="宋体"/>
          <w:b/>
          <w:bCs/>
          <w:sz w:val="21"/>
          <w:szCs w:val="21"/>
        </w:rPr>
        <w:t xml:space="preserve">1.</w:t>
      </w:r>
      <w:r>
        <w:rPr>
          <w:rFonts w:hint="eastAsia" w:ascii="宋体" w:hAnsi="宋体"/>
          <w:b/>
          <w:bCs/>
          <w:sz w:val="21"/>
          <w:szCs w:val="21"/>
        </w:rPr>
        <w:t xml:space="preserve">2.技术要求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支持配备主流处理器，支持多端口千兆或万兆网卡，支持远程直接内存访问技术，降低网络延迟，保障云平台内部节点间、节点与终端间的高速数据传输。</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1.2.19.</w:t>
      </w:r>
      <w:r>
        <w:rPr>
          <w:rFonts w:ascii="宋体" w:hAnsi="宋体"/>
          <w:b/>
          <w:bCs/>
          <w:sz w:val="21"/>
          <w:szCs w:val="21"/>
        </w:rPr>
        <w:t xml:space="preserve">2.</w:t>
      </w:r>
      <w:r>
        <w:rPr>
          <w:rFonts w:hint="eastAsia" w:ascii="宋体" w:hAnsi="宋体"/>
          <w:b/>
          <w:bCs/>
          <w:sz w:val="21"/>
          <w:szCs w:val="21"/>
        </w:rPr>
        <w:t xml:space="preserve">全闪块存储</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1.2.19.2</w:t>
      </w:r>
      <w:r>
        <w:rPr>
          <w:rFonts w:ascii="宋体" w:hAnsi="宋体"/>
          <w:b/>
          <w:bCs/>
          <w:sz w:val="21"/>
          <w:szCs w:val="21"/>
        </w:rPr>
        <w:t xml:space="preserve">.</w:t>
      </w:r>
      <w:r>
        <w:rPr>
          <w:rFonts w:hint="eastAsia" w:ascii="宋体" w:hAnsi="宋体"/>
          <w:b/>
          <w:bCs/>
          <w:sz w:val="21"/>
          <w:szCs w:val="21"/>
        </w:rPr>
        <w:t xml:space="preserve">1.功能要求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块存储服务可以在线创建云硬盘并挂载给实例，使用方式与传统服务器硬盘完全一致。同时，具有更高的数据可靠性，更高的I/O吞吐能力和更加简单易用等特点，适用于文件系统、数据库或者其他需要块存储设备的系统软件或应用。</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1.2.19.2</w:t>
      </w:r>
      <w:r>
        <w:rPr>
          <w:rFonts w:ascii="宋体" w:hAnsi="宋体"/>
          <w:b/>
          <w:bCs/>
          <w:sz w:val="21"/>
          <w:szCs w:val="21"/>
        </w:rPr>
        <w:t xml:space="preserve">.</w:t>
      </w:r>
      <w:r>
        <w:rPr>
          <w:rFonts w:hint="eastAsia" w:ascii="宋体" w:hAnsi="宋体"/>
          <w:b/>
          <w:bCs/>
          <w:sz w:val="21"/>
          <w:szCs w:val="21"/>
        </w:rPr>
        <w:t xml:space="preserve">2.技术要求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全闪块存储基于高端CPU和高性能存储介质（如NVMe SSD），满足高带宽/低延迟读写需求，提供高性能和灵活部件配置组合，满足多样的结构化业务负载访问诉求。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1.2.19.</w:t>
      </w:r>
      <w:r>
        <w:rPr>
          <w:rFonts w:ascii="宋体" w:hAnsi="宋体"/>
          <w:b/>
          <w:bCs/>
          <w:sz w:val="21"/>
          <w:szCs w:val="21"/>
        </w:rPr>
        <w:t xml:space="preserve">3.</w:t>
      </w:r>
      <w:r>
        <w:rPr>
          <w:rFonts w:hint="eastAsia" w:ascii="宋体" w:hAnsi="宋体"/>
          <w:b/>
          <w:bCs/>
          <w:sz w:val="21"/>
          <w:szCs w:val="21"/>
        </w:rPr>
        <w:t xml:space="preserve">混闪块存储</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1.2.19.3</w:t>
      </w:r>
      <w:r>
        <w:rPr>
          <w:rFonts w:ascii="宋体" w:hAnsi="宋体"/>
          <w:b/>
          <w:bCs/>
          <w:sz w:val="21"/>
          <w:szCs w:val="21"/>
        </w:rPr>
        <w:t xml:space="preserve">.</w:t>
      </w:r>
      <w:r>
        <w:rPr>
          <w:rFonts w:hint="eastAsia" w:ascii="宋体" w:hAnsi="宋体"/>
          <w:b/>
          <w:bCs/>
          <w:sz w:val="21"/>
          <w:szCs w:val="21"/>
        </w:rPr>
        <w:t xml:space="preserve">1.功能要求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混闪存储通过结合SSD和HDD的特性，满足企业级存储对速度、容量和经济性的综合需求，可为云资源池、数据库、海量数据备份与归档等场景提供灵活的数据存取服务。</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1.2.19.3</w:t>
      </w:r>
      <w:r>
        <w:rPr>
          <w:rFonts w:ascii="宋体" w:hAnsi="宋体"/>
          <w:b/>
          <w:bCs/>
          <w:sz w:val="21"/>
          <w:szCs w:val="21"/>
        </w:rPr>
        <w:t xml:space="preserve">.</w:t>
      </w:r>
      <w:r>
        <w:rPr>
          <w:rFonts w:hint="eastAsia" w:ascii="宋体" w:hAnsi="宋体"/>
          <w:b/>
          <w:bCs/>
          <w:sz w:val="21"/>
          <w:szCs w:val="21"/>
        </w:rPr>
        <w:t xml:space="preserve">2.技术要求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支持高性能存储介质与HDD结合，采用集群内和集群间分级流动技术，可实现存储不同介质间的数据流动，充分释放高性能层数据价值，同时满足温冷数据的长久保存和即时访问</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1.2.19.</w:t>
      </w:r>
      <w:r>
        <w:rPr>
          <w:rFonts w:ascii="宋体" w:hAnsi="宋体"/>
          <w:b/>
          <w:bCs/>
          <w:sz w:val="21"/>
          <w:szCs w:val="21"/>
        </w:rPr>
        <w:t xml:space="preserve">4.</w:t>
      </w:r>
      <w:r>
        <w:rPr>
          <w:rFonts w:hint="eastAsia" w:ascii="宋体" w:hAnsi="宋体"/>
          <w:b/>
          <w:bCs/>
          <w:sz w:val="21"/>
          <w:szCs w:val="21"/>
        </w:rPr>
        <w:t xml:space="preserve">文件存储</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1.2.19.4</w:t>
      </w:r>
      <w:r>
        <w:rPr>
          <w:rFonts w:ascii="宋体" w:hAnsi="宋体"/>
          <w:b/>
          <w:bCs/>
          <w:sz w:val="21"/>
          <w:szCs w:val="21"/>
        </w:rPr>
        <w:t xml:space="preserve">.</w:t>
      </w:r>
      <w:r>
        <w:rPr>
          <w:rFonts w:hint="eastAsia" w:ascii="宋体" w:hAnsi="宋体"/>
          <w:b/>
          <w:bCs/>
          <w:sz w:val="21"/>
          <w:szCs w:val="21"/>
        </w:rPr>
        <w:t xml:space="preserve">1.功能要求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文件存储为云服务器和裸金属服务器提供一个按需扩展、弹性伸缩的高性能共享文件系统，符合标准文件协议（NFS、CIFS等），能够弹性伸缩至PB规模，具备可扩展的性能，为海量数据、高带宽型应用提供有力支持。</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1.2.19.4</w:t>
      </w:r>
      <w:r>
        <w:rPr>
          <w:rFonts w:ascii="宋体" w:hAnsi="宋体"/>
          <w:b/>
          <w:bCs/>
          <w:sz w:val="21"/>
          <w:szCs w:val="21"/>
        </w:rPr>
        <w:t xml:space="preserve">.</w:t>
      </w:r>
      <w:r>
        <w:rPr>
          <w:rFonts w:hint="eastAsia" w:ascii="宋体" w:hAnsi="宋体"/>
          <w:b/>
          <w:bCs/>
          <w:sz w:val="21"/>
          <w:szCs w:val="21"/>
        </w:rPr>
        <w:t xml:space="preserve">2.技术要求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使用标准协议（NFS/CIFS/FTP协议）或DPC（Distributed Parallel Client）实现文件共享访问。支持EC或多副本技术保障数据的可靠性，支持全面的系统亚健康检测与预处理，提前精准排除网络、节点、部件可能的故障风险。</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1.2.19.</w:t>
      </w:r>
      <w:r>
        <w:rPr>
          <w:rFonts w:ascii="宋体" w:hAnsi="宋体"/>
          <w:b/>
          <w:bCs/>
          <w:sz w:val="21"/>
          <w:szCs w:val="21"/>
        </w:rPr>
        <w:t xml:space="preserve">5.</w:t>
      </w:r>
      <w:r>
        <w:rPr>
          <w:rFonts w:hint="eastAsia" w:ascii="宋体" w:hAnsi="宋体"/>
          <w:b/>
          <w:bCs/>
          <w:sz w:val="21"/>
          <w:szCs w:val="21"/>
        </w:rPr>
        <w:t xml:space="preserve">对象存储</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1.2.19.5</w:t>
      </w:r>
      <w:r>
        <w:rPr>
          <w:rFonts w:ascii="宋体" w:hAnsi="宋体"/>
          <w:b/>
          <w:bCs/>
          <w:sz w:val="21"/>
          <w:szCs w:val="21"/>
        </w:rPr>
        <w:t xml:space="preserve">.</w:t>
      </w:r>
      <w:r>
        <w:rPr>
          <w:rFonts w:hint="eastAsia" w:ascii="宋体" w:hAnsi="宋体"/>
          <w:b/>
          <w:bCs/>
          <w:sz w:val="21"/>
          <w:szCs w:val="21"/>
        </w:rPr>
        <w:t xml:space="preserve">1.功能要求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对象存储提供海量、安全、高可靠的数据存储能力，包括：创建、修改、删除桶，上传、下载、删除对象等。对象存储系统和单个桶都没有总数据容量和对象/文件数量的限制，提供了超大存储容量的能力，适合存放任意类型的文件。</w:t>
      </w:r>
      <w:r/>
    </w:p>
    <w:p>
      <w:pPr>
        <w:ind w:left="0" w:firstLine="422"/>
        <w:spacing w:line="360" w:lineRule="auto"/>
        <w:widowControl w:val="off"/>
        <w:rPr>
          <w:rFonts w:ascii="宋体" w:hAnsi="宋体" w:cs="仿宋_GB2312"/>
          <w:sz w:val="21"/>
          <w:szCs w:val="21"/>
        </w:rPr>
      </w:pPr>
      <w:r>
        <w:rPr>
          <w:rFonts w:hint="eastAsia" w:ascii="宋体" w:hAnsi="宋体"/>
          <w:b/>
          <w:bCs/>
          <w:sz w:val="21"/>
          <w:szCs w:val="21"/>
        </w:rPr>
        <w:t xml:space="preserve">1.2.19.5</w:t>
      </w:r>
      <w:r>
        <w:rPr>
          <w:rFonts w:ascii="宋体" w:hAnsi="宋体"/>
          <w:b/>
          <w:bCs/>
          <w:sz w:val="21"/>
          <w:szCs w:val="21"/>
        </w:rPr>
        <w:t xml:space="preserve">.</w:t>
      </w:r>
      <w:r>
        <w:rPr>
          <w:rFonts w:hint="eastAsia" w:ascii="宋体" w:hAnsi="宋体"/>
          <w:b/>
          <w:bCs/>
          <w:sz w:val="21"/>
          <w:szCs w:val="21"/>
        </w:rPr>
        <w:t xml:space="preserve">2.技术要求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支持HTTPS/SSL安全协议，支持数据加密上传。同时支持通过访问密钥（AK/SK）对访问用户的身份进行鉴权，结合IAM策略桶策略、ACL、防盗链等多种方式和技术确保数据传输与访问的安全。</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1.2.20.迁移适配服务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为保障业务迁移至信创云顺利执行，提供配套的国产化迁移专家服务，包含迁移咨询、测评、指导服务。</w:t>
      </w:r>
      <w:r/>
    </w:p>
    <w:p>
      <w:pPr>
        <w:numPr>
          <w:ilvl w:val="0"/>
          <w:numId w:val="8"/>
        </w:numPr>
        <w:spacing w:line="360" w:lineRule="auto"/>
        <w:widowControl w:val="off"/>
        <w:rPr>
          <w:rFonts w:ascii="宋体" w:hAnsi="宋体" w:cs="仿宋_GB2312"/>
          <w:sz w:val="21"/>
          <w:szCs w:val="21"/>
        </w:rPr>
      </w:pPr>
      <w:r>
        <w:rPr>
          <w:rFonts w:hint="eastAsia" w:ascii="宋体" w:hAnsi="宋体" w:cs="仿宋_GB2312"/>
          <w:sz w:val="21"/>
          <w:szCs w:val="21"/>
        </w:rPr>
        <w:t xml:space="preserve">迁移专业服务包含如下内容：</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总体迁移方案的设计，根据但业务系统复杂度评估；兼容性列表中涉及的基础组件、语言环境、中间件软件的安装、部署以及应用数据迁移；应用软件的重新编译、安装和部署以及应用数据的迁移；对迁移后的业务系统进行测试，以保证客户业务系统能满足迁移前的服务能力；对系统性能全面的测试和优化，包括：应用软件的优化，以及中间件、数据库、运行环境等其他软件的优化。</w:t>
      </w:r>
      <w:r/>
    </w:p>
    <w:p>
      <w:pPr>
        <w:numPr>
          <w:ilvl w:val="0"/>
          <w:numId w:val="8"/>
        </w:numPr>
        <w:spacing w:line="360" w:lineRule="auto"/>
        <w:widowControl w:val="off"/>
        <w:rPr>
          <w:rFonts w:ascii="宋体" w:hAnsi="宋体" w:cs="仿宋_GB2312"/>
          <w:sz w:val="21"/>
          <w:szCs w:val="21"/>
        </w:rPr>
      </w:pPr>
      <w:r>
        <w:rPr>
          <w:rFonts w:hint="eastAsia" w:ascii="宋体" w:hAnsi="宋体" w:cs="仿宋_GB2312"/>
          <w:sz w:val="21"/>
          <w:szCs w:val="21"/>
        </w:rPr>
        <w:t xml:space="preserve">测评专家服务：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大型业务系统服务调研；提供复杂、综合业务系统方案设计服务；提供复杂、综合业务系统方案评审服务；提供云服务在计算、存储、网络、数据库、安全、灾备、运维方面的规划及咨询服务；提供系统性的性能优化服务；解决客户系统、平台重大问题，确诊问题根源所在，并给出修复建议。</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1.2.21.用云支持服务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在业务上云后，为使业务系统持续更好的用好云，需提供如下用云支持服务，主要服务内容包括：</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全局资源规划与配置服务。根据收集到的用户现有IT组织架构、云平台使用、运维模式以及业务部门现状结合应用系统现状，对用户使用云平台的全局资源进行相关规划，设计租户模型，并对云服务（产品）进行上架管理、设计云服务（产品）使用审批流程等。</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提供云服务规划服务。基于客户业务系统部署现状，结合云平台资源池配置情况，为用户提供计算服务、网络服务、存储服务的相关规格、参数、模型的规划。基础云服务包括计算服务、存储服务、网络服务等。</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应用上云支持服务。进行业务上云前的可行性分析，判断业务系统是否可以上云，以何种方式上云最优；业务系统上云架构的设计支持，将传统架构转换为云上适配的架构，通过云服务提高业务系统的便捷性、稳定性、可扩展性、可靠性；在业务系统上云的过程中提供相关云服务的选型指导，让云服务发挥最大的效能，并给出云服务的使用指导。</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系统备份部署技术支持服务。包括调研分析、方案设计、方案实施、方案验收和工程移交五个部分。通过严谨调研应用备份需求，帮助用户根据备份系统特点及自身备份目标进行评估，并为用户选择设计最佳的备份建设方案，通过验证流程验证备份方案的可行性。从应用备份整体解决方案角度提供端到端的对接实施，支撑应用可靠备份。</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1.2.2</w:t>
      </w:r>
      <w:r>
        <w:rPr>
          <w:rFonts w:hint="eastAsia" w:ascii="宋体" w:hAnsi="宋体"/>
          <w:b/>
          <w:bCs/>
          <w:sz w:val="21"/>
          <w:szCs w:val="21"/>
        </w:rPr>
        <w:t xml:space="preserve">2</w:t>
      </w:r>
      <w:r>
        <w:rPr>
          <w:rFonts w:ascii="宋体" w:hAnsi="宋体"/>
          <w:b/>
          <w:bCs/>
          <w:sz w:val="21"/>
          <w:szCs w:val="21"/>
        </w:rPr>
        <w:t xml:space="preserve">.</w:t>
      </w:r>
      <w:r>
        <w:rPr>
          <w:rFonts w:hint="eastAsia" w:ascii="宋体" w:hAnsi="宋体"/>
          <w:b/>
          <w:bCs/>
          <w:sz w:val="21"/>
          <w:szCs w:val="21"/>
        </w:rPr>
        <w:t xml:space="preserve">重点保障-安全值守服务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人工巡检网站访问情况、应急处置、安全事件验证分析等日常安全值守服务。普通保障场景：安排工程师在客户现场通过运维软件运维中心实时监控故障告警，及时发现问题，评估风险，提前预警。特殊保障场景：通过业务调研信息制定核心指标的监控方案，通过监控工具实时监控故障告警，定时发送监控结果，反馈平台运行状态。</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按照保障前、保障中、保障后三个服务阶段做相关准备。保障前通过调研分析、保障组成立、现网信息收集、平台健康检查、用户业务调研、风险管理、制定应急预案的保障手段；保障中安排人员7*24小时现场值守，及时处理规避现网问题，保障平台稳定运行；保障后提供系统截图、安全事件分析报告、值班报告等内容。</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1.2.2</w:t>
      </w:r>
      <w:r>
        <w:rPr>
          <w:rFonts w:hint="eastAsia" w:ascii="宋体" w:hAnsi="宋体"/>
          <w:b/>
          <w:bCs/>
          <w:sz w:val="21"/>
          <w:szCs w:val="21"/>
        </w:rPr>
        <w:t xml:space="preserve">3</w:t>
      </w:r>
      <w:r>
        <w:rPr>
          <w:rFonts w:ascii="宋体" w:hAnsi="宋体"/>
          <w:b/>
          <w:bCs/>
          <w:sz w:val="21"/>
          <w:szCs w:val="21"/>
        </w:rPr>
        <w:t xml:space="preserve">.</w:t>
      </w:r>
      <w:r>
        <w:rPr>
          <w:rFonts w:hint="eastAsia" w:ascii="宋体" w:hAnsi="宋体"/>
          <w:b/>
          <w:bCs/>
          <w:sz w:val="21"/>
          <w:szCs w:val="21"/>
        </w:rPr>
        <w:t xml:space="preserve">重点保障-安全专家服务</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安全隐患分析、安全培训、应急处置服务、木马病毒分析、日志隐患分析等安全相关的人工服务。制定符合项目场景化的安全方案，安排安全专家5*8小时现场支撑处理突发事件。同时，安排后端专家在远程值守，必要时现场支撑。事后提供分析报告、人工协助解决隐患、解决方案等内容。</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（四）采购标的其他技术、服务等要求；</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1.2.2</w:t>
      </w:r>
      <w:r>
        <w:rPr>
          <w:rFonts w:hint="eastAsia" w:ascii="宋体" w:hAnsi="宋体"/>
          <w:b/>
          <w:bCs/>
          <w:sz w:val="21"/>
          <w:szCs w:val="21"/>
        </w:rPr>
        <w:t xml:space="preserve">4</w:t>
      </w:r>
      <w:r>
        <w:rPr>
          <w:rFonts w:ascii="宋体" w:hAnsi="宋体"/>
          <w:b/>
          <w:bCs/>
          <w:sz w:val="21"/>
          <w:szCs w:val="21"/>
        </w:rPr>
        <w:t xml:space="preserve">.</w:t>
      </w:r>
      <w:r>
        <w:rPr>
          <w:rFonts w:hint="eastAsia" w:ascii="宋体" w:hAnsi="宋体"/>
          <w:b/>
          <w:bCs/>
          <w:sz w:val="21"/>
          <w:szCs w:val="21"/>
        </w:rPr>
        <w:t xml:space="preserve">云运营运维服务要求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云服务商应制定机房、人员、备份、安全、设备、介质、泄密事件等管理制度，覆盖事件/故障管理、变更管理、资源监控、安全事件处置、安全通告处置等全生命周期运维流程。</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提供包含日常运维、重保运维、资源优化三个方面的运维服务，提供日、周、月、应急、巡检、监控、值班、来访等多维度、各层级日志文档。</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云服务商须根据项目要求安排具备相应资质和经验的专业人员从事本项目工作，确保项目实施队伍的稳定，提供本地化服务，保证担任重要岗位的人员具备相应专业资质。</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运维支撑通道：运维服务团队必须具有与设备或系统厂商技术支持专家团队直通的求助渠道（电话、远程）或绿色通道，重大故障问题直接一步升级到技术支持专家，必要情况下能快速升级到产品研发团队或运维专家资源池解决；</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维护工具平台：云服务商必须对运维人员提供统一的运维交付质量管理，提供必要的工具、平台，如变更、巡检等，与技术支持专家实现故障、事件等的准确交互，提升交付质量和效率。</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服务响应时间：在本次招标的云服务内容出现重大异常或其他紧急情况，立即向云管理单位、业务系统所属单位报告，及时妥善处置，将相关影响减至最小。在服务期内，应提供专人保障服务，所有故障须在15分钟以内响应。</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服务资源保障：本次服务提供的资源池相关资源运行阈值不能超过总资源量的85%。</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1.2.2</w:t>
      </w:r>
      <w:r>
        <w:rPr>
          <w:rFonts w:hint="eastAsia" w:ascii="宋体" w:hAnsi="宋体"/>
          <w:b/>
          <w:bCs/>
          <w:sz w:val="21"/>
          <w:szCs w:val="21"/>
        </w:rPr>
        <w:t xml:space="preserve">5</w:t>
      </w:r>
      <w:r>
        <w:rPr>
          <w:rFonts w:ascii="宋体" w:hAnsi="宋体"/>
          <w:b/>
          <w:bCs/>
          <w:sz w:val="21"/>
          <w:szCs w:val="21"/>
        </w:rPr>
        <w:t xml:space="preserve">.</w:t>
      </w:r>
      <w:r>
        <w:rPr>
          <w:rFonts w:hint="eastAsia" w:ascii="宋体" w:hAnsi="宋体"/>
          <w:b/>
          <w:bCs/>
          <w:sz w:val="21"/>
          <w:szCs w:val="21"/>
        </w:rPr>
        <w:t xml:space="preserve">管理及运维人员要求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服务商应提供符合采购人需求的人员绩效考核体系或机制。明确人力资源政策、预算和合理分工，确保人员管理满足采购人业务要求。云服务商应建立人员选聘、试用、培训、考核与离职管理程序，确保云服务正常提供。</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人员应掌握岗位必要的专业技能，具备从事相关工作的资格。人员应按照采购人要求参加岗位技能考核，合格后才能上岗。项目实施过程中，云服务商应保证关键岗位人员不能随意变更，如因正当理由需要调整项目主要人员的，应当提前 1个月通知云管理单位，获得书面同意后方可更换。</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云服务商须组建高素质、专业性强、经验丰富、稳定的专业专职服务团队负责云服务平台运行管理维护工作。团队人数不少于5人，具体岗位及职责要求如下：项目经理 1 名，负责项目整体运营统筹协调；云平台工程师 1 名，承担云平台日常运维支撑；网络安全工程师 1 名，负责云平台网络和安全运维支撑；数据库工程师 1 名，负责数据库运维支撑；人工智能工程师 1 名，负责人工智能服务的运维支撑。</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1.2.2</w:t>
      </w:r>
      <w:r>
        <w:rPr>
          <w:rFonts w:hint="eastAsia" w:ascii="宋体" w:hAnsi="宋体"/>
          <w:b/>
          <w:bCs/>
          <w:sz w:val="21"/>
          <w:szCs w:val="21"/>
        </w:rPr>
        <w:t xml:space="preserve">6</w:t>
      </w:r>
      <w:r>
        <w:rPr>
          <w:rFonts w:ascii="宋体" w:hAnsi="宋体"/>
          <w:b/>
          <w:bCs/>
          <w:sz w:val="21"/>
          <w:szCs w:val="21"/>
        </w:rPr>
        <w:t xml:space="preserve">.</w:t>
      </w:r>
      <w:r>
        <w:rPr>
          <w:rFonts w:hint="eastAsia" w:ascii="宋体" w:hAnsi="宋体"/>
          <w:b/>
          <w:bCs/>
          <w:sz w:val="21"/>
          <w:szCs w:val="21"/>
        </w:rPr>
        <w:t xml:space="preserve">应急演练与应急响应要求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云服务商应满足《信息技术服务运行维护第三部分：应急响应规范》（GB/T 28827.3-2012）要求，并编制应急演练与应急响应方案。</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云服务商须根据政务云平台高可用设计特性和各组件的重要性进行针对性演练，制订应急预案，每年组织不少于2次应急演练；当发生重大应急事件时，云服务商实施应急响应操作，并在事后制定重大事件报告。 </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1.2.2</w:t>
      </w:r>
      <w:r>
        <w:rPr>
          <w:rFonts w:hint="eastAsia" w:ascii="宋体" w:hAnsi="宋体"/>
          <w:b/>
          <w:bCs/>
          <w:sz w:val="21"/>
          <w:szCs w:val="21"/>
        </w:rPr>
        <w:t xml:space="preserve">7</w:t>
      </w:r>
      <w:r>
        <w:rPr>
          <w:rFonts w:ascii="宋体" w:hAnsi="宋体"/>
          <w:b/>
          <w:bCs/>
          <w:sz w:val="21"/>
          <w:szCs w:val="21"/>
        </w:rPr>
        <w:t xml:space="preserve">.</w:t>
      </w:r>
      <w:r>
        <w:rPr>
          <w:rFonts w:hint="eastAsia" w:ascii="宋体" w:hAnsi="宋体"/>
          <w:b/>
          <w:bCs/>
          <w:sz w:val="21"/>
          <w:szCs w:val="21"/>
        </w:rPr>
        <w:t xml:space="preserve">运行安全保障要求</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云服务商要以保障提供云服务的云平台网络数据安全为目标，遵照国家和省关于网络数据安全的标准、规范、办法、要求，通过网络数据安全防护手段和运行安全管理。</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云服务商须按照《政务“一朵云”安全管理体系规范 第1部分：安全运行监测》（DB32／T 5073.1-2025）等地方标准，做好政务云平台安全运行监测。做好安全运行监测和安全事件应急处置；对于发现的漏洞和风险，做好安全协同，实现动态清零。</w:t>
      </w:r>
      <w:r/>
    </w:p>
    <w:p>
      <w:pPr>
        <w:ind w:left="0" w:firstLine="422"/>
        <w:spacing w:line="360" w:lineRule="auto"/>
        <w:tabs>
          <w:tab w:val="left" w:pos="0" w:leader="none"/>
        </w:tabs>
        <w:rPr>
          <w:rFonts w:ascii="宋体" w:hAnsi="宋体"/>
          <w:b/>
          <w:sz w:val="21"/>
          <w:szCs w:val="21"/>
        </w:rPr>
      </w:pPr>
      <w:r>
        <w:rPr>
          <w:rFonts w:ascii="宋体" w:hAnsi="宋体"/>
          <w:b/>
          <w:sz w:val="21"/>
          <w:szCs w:val="21"/>
        </w:rPr>
        <w:t xml:space="preserve">1.2.2</w:t>
      </w:r>
      <w:r>
        <w:rPr>
          <w:rFonts w:hint="eastAsia" w:ascii="宋体" w:hAnsi="宋体"/>
          <w:b/>
          <w:sz w:val="21"/>
          <w:szCs w:val="21"/>
        </w:rPr>
        <w:t xml:space="preserve">8</w:t>
      </w:r>
      <w:r>
        <w:rPr>
          <w:rFonts w:ascii="宋体" w:hAnsi="宋体"/>
          <w:b/>
          <w:sz w:val="21"/>
          <w:szCs w:val="21"/>
        </w:rPr>
        <w:t xml:space="preserve">.</w:t>
      </w:r>
      <w:r>
        <w:rPr>
          <w:rFonts w:hint="eastAsia" w:ascii="宋体" w:hAnsi="宋体"/>
          <w:b/>
          <w:sz w:val="21"/>
          <w:szCs w:val="21"/>
        </w:rPr>
        <w:t xml:space="preserve">其他要求</w:t>
      </w:r>
      <w:r/>
    </w:p>
    <w:p>
      <w:pPr>
        <w:ind w:left="0" w:firstLine="422"/>
        <w:spacing w:line="360" w:lineRule="auto"/>
        <w:widowControl w:val="off"/>
        <w:rPr>
          <w:rFonts w:ascii="宋体" w:hAnsi="宋体" w:cs="仿宋_GB2312"/>
          <w:b/>
          <w:bCs/>
          <w:sz w:val="21"/>
          <w:szCs w:val="21"/>
        </w:rPr>
      </w:pPr>
      <w:r>
        <w:rPr>
          <w:rFonts w:hint="eastAsia" w:ascii="宋体" w:hAnsi="宋体" w:cs="仿宋_GB2312"/>
          <w:b/>
          <w:bCs/>
          <w:sz w:val="21"/>
          <w:szCs w:val="21"/>
        </w:rPr>
        <w:t xml:space="preserve">1.云服务商须承诺在签订合同后30天内，</w:t>
      </w:r>
      <w:r>
        <w:rPr>
          <w:rFonts w:hint="eastAsia" w:ascii="宋体" w:hAnsi="宋体" w:cs="仿宋_GB2312"/>
          <w:b/>
          <w:bCs/>
          <w:sz w:val="21"/>
          <w:szCs w:val="21"/>
          <w:lang w:val="zh-CN"/>
        </w:rPr>
        <w:t xml:space="preserve">完成所提供云平台与苏州市国产化政务云平台的对接。</w:t>
      </w:r>
      <w:r>
        <w:rPr>
          <w:rFonts w:hint="eastAsia" w:ascii="宋体" w:hAnsi="宋体" w:cs="仿宋_GB2312"/>
          <w:b/>
          <w:bCs/>
          <w:sz w:val="21"/>
          <w:szCs w:val="21"/>
        </w:rPr>
        <w:t xml:space="preserve">如果不能按时完成对接，采购人有权终止合同，由此造成的一切责任和后果由云服务商承担。</w:t>
      </w:r>
      <w:r/>
    </w:p>
    <w:p>
      <w:pPr>
        <w:ind w:left="0" w:firstLine="422"/>
        <w:spacing w:line="360" w:lineRule="auto"/>
        <w:widowControl w:val="off"/>
        <w:rPr>
          <w:rFonts w:ascii="宋体" w:hAnsi="宋体" w:cs="仿宋_GB2312"/>
          <w:b/>
          <w:bCs/>
          <w:sz w:val="21"/>
          <w:szCs w:val="21"/>
        </w:rPr>
      </w:pPr>
      <w:r>
        <w:rPr>
          <w:rFonts w:hint="eastAsia" w:ascii="宋体" w:hAnsi="宋体" w:cs="Times New Roman"/>
          <w:b/>
          <w:bCs/>
          <w:sz w:val="21"/>
          <w:szCs w:val="21"/>
        </w:rPr>
        <w:t xml:space="preserve">2.</w:t>
      </w:r>
      <w:r>
        <w:rPr>
          <w:rFonts w:hint="eastAsia" w:ascii="宋体" w:hAnsi="宋体" w:cs="仿宋_GB2312"/>
          <w:b/>
          <w:bCs/>
          <w:sz w:val="21"/>
          <w:szCs w:val="21"/>
        </w:rPr>
        <w:t xml:space="preserve">云服务商须承诺在签订合同后45天内，</w:t>
      </w:r>
      <w:r>
        <w:rPr>
          <w:rFonts w:hint="eastAsia" w:ascii="宋体" w:hAnsi="宋体" w:cs="仿宋_GB2312"/>
          <w:b/>
          <w:bCs/>
          <w:sz w:val="21"/>
          <w:szCs w:val="21"/>
          <w:lang w:val="zh-CN"/>
        </w:rPr>
        <w:t xml:space="preserve">所提供的云平台</w:t>
      </w:r>
      <w:r>
        <w:rPr>
          <w:rFonts w:hint="eastAsia" w:ascii="宋体" w:hAnsi="宋体" w:cs="Times New Roman"/>
          <w:b/>
          <w:bCs/>
          <w:sz w:val="21"/>
          <w:szCs w:val="21"/>
        </w:rPr>
        <w:t xml:space="preserve">须通过三级网络安全等级保护测评、密码应用安全性评估，并提供第三方测评单位出具的测评报告。</w:t>
      </w:r>
      <w:r>
        <w:rPr>
          <w:rFonts w:hint="eastAsia" w:ascii="宋体" w:hAnsi="宋体" w:cs="仿宋_GB2312"/>
          <w:b/>
          <w:bCs/>
          <w:sz w:val="21"/>
          <w:szCs w:val="21"/>
        </w:rPr>
        <w:t xml:space="preserve">如果不能按时通过评测、评估并提供评测报告，采购人有权终止合同，由此造成的一切责任和后果由云服务商承担。</w:t>
      </w:r>
      <w:r/>
    </w:p>
    <w:p>
      <w:pPr>
        <w:ind w:left="0" w:firstLine="422"/>
        <w:spacing w:line="360" w:lineRule="auto"/>
        <w:widowControl w:val="off"/>
        <w:rPr>
          <w:rFonts w:ascii="宋体" w:hAnsi="宋体" w:cs="仿宋_GB2312"/>
          <w:b/>
          <w:bCs/>
          <w:sz w:val="21"/>
          <w:szCs w:val="21"/>
        </w:rPr>
      </w:pPr>
      <w:r>
        <w:rPr>
          <w:rFonts w:hint="eastAsia" w:ascii="宋体" w:hAnsi="宋体" w:cs="仿宋_GB2312"/>
          <w:b/>
          <w:bCs/>
          <w:sz w:val="21"/>
          <w:szCs w:val="21"/>
        </w:rPr>
        <w:t xml:space="preserve">3.在签订合同后5个工作日内，云服务</w:t>
      </w:r>
      <w:r>
        <w:rPr>
          <w:rFonts w:hint="eastAsia" w:ascii="宋体" w:hAnsi="宋体" w:cs="仿宋_GB2312"/>
          <w:b/>
          <w:bCs/>
          <w:sz w:val="21"/>
          <w:szCs w:val="21"/>
        </w:rPr>
        <w:t xml:space="preserve">商须提供相关材料以保障投标响应内容真实性和关键软硬件的交付能力。需提供的材料包括：（1）所投云软件产品的制造商针对本项目所投产品的授权文件；（2）所投服务器设备、存储设备、网络设备的制造商针对本项目所投产品的授权文件；（3）评分标准中技术参数响应情况的标“★”项技术参数（关键指标）须提供具有检验资质的检验机构出具的检测报告（检验报告）复印件并加盖制造商公章；（4）评分标准中云平台产品情况须提供相关证明材料并加盖制造商公章。如果不能按时提供相关材料，采购人有权终止合同，由此造成的一切责任和后果由云服务商承担。</w:t>
      </w:r>
      <w:r/>
    </w:p>
    <w:p>
      <w:pPr>
        <w:ind w:left="0" w:firstLine="422"/>
        <w:spacing w:line="360" w:lineRule="auto"/>
        <w:tabs>
          <w:tab w:val="left" w:pos="0" w:leader="none"/>
        </w:tabs>
        <w:rPr>
          <w:rFonts w:ascii="宋体" w:hAnsi="宋体" w:cs="Times New Roman"/>
          <w:sz w:val="21"/>
          <w:szCs w:val="21"/>
        </w:rPr>
      </w:pPr>
      <w:r>
        <w:rPr>
          <w:rFonts w:hint="eastAsia" w:ascii="宋体" w:hAnsi="宋体"/>
          <w:b/>
          <w:sz w:val="21"/>
          <w:szCs w:val="21"/>
        </w:rPr>
        <w:t xml:space="preserve">注：“1.2.28.其他要求”为实质性条款，针对上述1.-3.项，投标文件中应提供相应承诺函(格式自拟)，并加盖投标单位公章，未提供、未按要求提供视为非实质性响应，按无效投标处理。</w:t>
      </w:r>
      <w:r/>
    </w:p>
    <w:p>
      <w:pPr>
        <w:ind w:left="0" w:firstLine="420"/>
        <w:spacing w:line="360" w:lineRule="auto"/>
        <w:widowControl w:val="off"/>
        <w:rPr>
          <w:rFonts w:ascii="宋体" w:hAnsi="宋体" w:cs="仿宋_GB2312"/>
          <w:sz w:val="21"/>
          <w:szCs w:val="21"/>
        </w:rPr>
      </w:pPr>
      <w:r>
        <w:rPr>
          <w:rFonts w:ascii="宋体" w:hAnsi="宋体" w:cs="仿宋_GB2312"/>
          <w:sz w:val="21"/>
          <w:szCs w:val="21"/>
        </w:rPr>
      </w:r>
      <w:r/>
    </w:p>
    <w:p>
      <w:pPr>
        <w:ind w:left="0" w:firstLine="422"/>
        <w:spacing w:line="360" w:lineRule="auto"/>
        <w:widowControl w:val="off"/>
        <w:rPr>
          <w:rFonts w:ascii="宋体" w:hAnsi="宋体" w:cs="仿宋_GB2312"/>
          <w:b/>
          <w:bCs/>
          <w:sz w:val="21"/>
          <w:szCs w:val="21"/>
        </w:rPr>
      </w:pPr>
      <w:r>
        <w:rPr>
          <w:rFonts w:ascii="宋体" w:hAnsi="宋体" w:cs="仿宋_GB2312"/>
          <w:b/>
          <w:bCs/>
          <w:sz w:val="21"/>
          <w:szCs w:val="21"/>
        </w:rPr>
        <w:t xml:space="preserve">1.3.</w:t>
      </w:r>
      <w:r>
        <w:rPr>
          <w:rFonts w:hint="eastAsia" w:ascii="宋体" w:hAnsi="宋体" w:cs="仿宋_GB2312"/>
          <w:b/>
          <w:bCs/>
          <w:sz w:val="21"/>
          <w:szCs w:val="21"/>
        </w:rPr>
        <w:t xml:space="preserve">商务要求</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1.3.</w:t>
      </w:r>
      <w:r>
        <w:rPr>
          <w:rFonts w:hint="eastAsia" w:ascii="宋体" w:hAnsi="宋体"/>
          <w:b/>
          <w:bCs/>
          <w:sz w:val="21"/>
          <w:szCs w:val="21"/>
        </w:rPr>
        <w:t xml:space="preserve">1</w:t>
      </w:r>
      <w:r>
        <w:rPr>
          <w:rFonts w:ascii="宋体" w:hAnsi="宋体"/>
          <w:b/>
          <w:bCs/>
          <w:sz w:val="21"/>
          <w:szCs w:val="21"/>
        </w:rPr>
        <w:t xml:space="preserve">.</w:t>
      </w:r>
      <w:r>
        <w:rPr>
          <w:rFonts w:hint="eastAsia" w:ascii="宋体" w:hAnsi="宋体"/>
          <w:b/>
          <w:bCs/>
          <w:sz w:val="21"/>
          <w:szCs w:val="21"/>
        </w:rPr>
        <w:t xml:space="preserve">服务周期与</w:t>
      </w:r>
      <w:r>
        <w:rPr>
          <w:rFonts w:ascii="宋体" w:hAnsi="宋体"/>
          <w:b/>
          <w:bCs/>
          <w:sz w:val="21"/>
          <w:szCs w:val="21"/>
        </w:rPr>
        <w:t xml:space="preserve">地点</w:t>
      </w:r>
      <w:r/>
    </w:p>
    <w:p>
      <w:pPr>
        <w:ind w:left="0" w:firstLine="425"/>
        <w:spacing w:line="360" w:lineRule="auto"/>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服务</w:t>
      </w:r>
      <w:r>
        <w:rPr>
          <w:rFonts w:ascii="宋体" w:hAnsi="宋体" w:cs="Times New Roman"/>
          <w:sz w:val="21"/>
          <w:szCs w:val="21"/>
        </w:rPr>
        <w:t xml:space="preserve">周期：</w:t>
      </w:r>
      <w:r>
        <w:rPr>
          <w:rFonts w:hint="eastAsia" w:ascii="宋体" w:hAnsi="宋体" w:cs="Times New Roman"/>
          <w:sz w:val="21"/>
          <w:szCs w:val="21"/>
        </w:rPr>
        <w:t xml:space="preserve">自签订合同之日起一年。（本次招标根据各个使用部门实际需求进行采购，区县数据局根据自身业务需求及运营情况，依法合规完成相关合同的签署。）</w:t>
      </w:r>
      <w:r/>
    </w:p>
    <w:p>
      <w:pPr>
        <w:ind w:left="0" w:firstLine="425"/>
        <w:spacing w:line="360" w:lineRule="auto"/>
        <w:widowControl w:val="off"/>
        <w:rPr>
          <w:rFonts w:ascii="宋体" w:hAnsi="宋体"/>
          <w:sz w:val="21"/>
          <w:szCs w:val="21"/>
        </w:rPr>
      </w:pPr>
      <w:r>
        <w:rPr>
          <w:rFonts w:ascii="宋体" w:hAnsi="宋体" w:cs="Times New Roman"/>
          <w:sz w:val="21"/>
          <w:szCs w:val="21"/>
        </w:rPr>
        <w:t xml:space="preserve">(2)</w:t>
      </w:r>
      <w:r>
        <w:rPr>
          <w:rFonts w:hint="eastAsia" w:ascii="宋体" w:hAnsi="宋体" w:cs="Times New Roman"/>
          <w:sz w:val="21"/>
          <w:szCs w:val="21"/>
        </w:rPr>
        <w:t xml:space="preserve">服务地点：按采购人指定地点提供服务。</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1.3.</w:t>
      </w:r>
      <w:r>
        <w:rPr>
          <w:rFonts w:hint="eastAsia" w:ascii="宋体" w:hAnsi="宋体"/>
          <w:b/>
          <w:bCs/>
          <w:sz w:val="21"/>
          <w:szCs w:val="21"/>
        </w:rPr>
        <w:t xml:space="preserve">2</w:t>
      </w:r>
      <w:r>
        <w:rPr>
          <w:rFonts w:ascii="宋体" w:hAnsi="宋体"/>
          <w:b/>
          <w:bCs/>
          <w:sz w:val="21"/>
          <w:szCs w:val="21"/>
        </w:rPr>
        <w:t xml:space="preserve">.</w:t>
      </w:r>
      <w:r>
        <w:rPr>
          <w:rFonts w:hint="eastAsia" w:ascii="宋体" w:hAnsi="宋体"/>
          <w:b/>
          <w:bCs/>
          <w:sz w:val="21"/>
          <w:szCs w:val="21"/>
        </w:rPr>
        <w:t xml:space="preserve">报价要求</w:t>
      </w:r>
      <w:r/>
    </w:p>
    <w:p>
      <w:pPr>
        <w:ind w:left="0" w:firstLine="425"/>
        <w:spacing w:line="360" w:lineRule="auto"/>
        <w:widowControl w:val="off"/>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投标价：以采购标的清单中单价（限价）进行整体的优惠率报价，整体的优惠率即为各项产品单价（限价）的优惠率，投标优惠率≥0，步长为1%。（优惠率释义：例如单价（限价）为100元，投标人如以98元的价格提供服务，则优惠率为2％；步长为1%释义：例如所投优惠率为1%、2%、3%……19%、20%等整数的优惠率，不能为1.1%、2.54%等带小数的优惠率）</w:t>
      </w:r>
      <w:r/>
    </w:p>
    <w:p>
      <w:pPr>
        <w:ind w:left="0" w:firstLine="425"/>
        <w:spacing w:line="360" w:lineRule="auto"/>
        <w:widowControl w:val="off"/>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本次中标政务云服务目录价，将作为云服务采购价。</w:t>
      </w:r>
      <w:r/>
    </w:p>
    <w:p>
      <w:pPr>
        <w:ind w:left="0" w:firstLine="425"/>
        <w:spacing w:line="360" w:lineRule="auto"/>
        <w:widowControl w:val="off"/>
        <w:rPr>
          <w:rFonts w:ascii="宋体" w:hAnsi="宋体" w:cs="Times New Roman"/>
          <w:sz w:val="21"/>
          <w:szCs w:val="21"/>
        </w:rPr>
      </w:pPr>
      <w:r>
        <w:rPr>
          <w:rFonts w:ascii="宋体" w:hAnsi="宋体" w:cs="Times New Roman"/>
          <w:sz w:val="21"/>
          <w:szCs w:val="21"/>
        </w:rPr>
        <w:t xml:space="preserve">(</w:t>
      </w: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本项目的单价（限价）折扣=1-投标优惠率。</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1.3.</w:t>
      </w:r>
      <w:r>
        <w:rPr>
          <w:rFonts w:hint="eastAsia" w:ascii="宋体" w:hAnsi="宋体"/>
          <w:b/>
          <w:bCs/>
          <w:sz w:val="21"/>
          <w:szCs w:val="21"/>
        </w:rPr>
        <w:t xml:space="preserve">3</w:t>
      </w:r>
      <w:r>
        <w:rPr>
          <w:rFonts w:ascii="宋体" w:hAnsi="宋体"/>
          <w:b/>
          <w:bCs/>
          <w:sz w:val="21"/>
          <w:szCs w:val="21"/>
        </w:rPr>
        <w:t xml:space="preserve">.</w:t>
      </w:r>
      <w:r>
        <w:rPr>
          <w:rFonts w:hint="eastAsia" w:ascii="宋体" w:hAnsi="宋体"/>
          <w:b/>
          <w:bCs/>
          <w:sz w:val="21"/>
          <w:szCs w:val="21"/>
        </w:rPr>
        <w:t xml:space="preserve">服务计量与计费</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1.3.</w:t>
      </w:r>
      <w:r>
        <w:rPr>
          <w:rFonts w:hint="eastAsia" w:ascii="宋体" w:hAnsi="宋体"/>
          <w:b/>
          <w:bCs/>
          <w:sz w:val="21"/>
          <w:szCs w:val="21"/>
        </w:rPr>
        <w:t xml:space="preserve">3</w:t>
      </w:r>
      <w:r>
        <w:rPr>
          <w:rFonts w:ascii="宋体" w:hAnsi="宋体"/>
          <w:b/>
          <w:bCs/>
          <w:sz w:val="21"/>
          <w:szCs w:val="21"/>
        </w:rPr>
        <w:t xml:space="preserve">.1.</w:t>
      </w:r>
      <w:r>
        <w:rPr>
          <w:rFonts w:hint="eastAsia" w:ascii="宋体" w:hAnsi="宋体"/>
          <w:b/>
          <w:bCs/>
          <w:sz w:val="21"/>
          <w:szCs w:val="21"/>
        </w:rPr>
        <w:t xml:space="preserve">服务的开通与确认</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服务开通、服务确认的相关工作遵照苏州市政务云主管部门和运行管理机构发布的相关规定进行。</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服务开通：中标方在收到需求单据之后，在规定时限内完成相关服务的开通，并向采购人进行服务开通的确认。</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服务确认：采购人在收到中标方的服务开通确认请求后进行审核。若采购人在收到中标方的服务开通确认请求后未按照相关规定进行审核并反馈审核结果，视同中标单位服务开通情况已通过审核。</w:t>
      </w:r>
      <w:r/>
    </w:p>
    <w:p>
      <w:pPr>
        <w:ind w:left="0" w:firstLine="420"/>
        <w:spacing w:line="360" w:lineRule="auto"/>
        <w:widowControl w:val="off"/>
        <w:rPr>
          <w:rFonts w:ascii="宋体" w:hAnsi="宋体" w:cs="仿宋_GB2312"/>
          <w:sz w:val="21"/>
          <w:szCs w:val="21"/>
        </w:rPr>
      </w:pPr>
      <w:r>
        <w:rPr>
          <w:rFonts w:hint="eastAsia" w:ascii="宋体" w:hAnsi="宋体" w:cs="仿宋_GB2312"/>
          <w:sz w:val="21"/>
          <w:szCs w:val="21"/>
        </w:rPr>
        <w:t xml:space="preserve">采购人</w:t>
      </w:r>
      <w:r>
        <w:rPr>
          <w:rFonts w:ascii="宋体" w:hAnsi="宋体" w:cs="仿宋_GB2312"/>
          <w:sz w:val="21"/>
          <w:szCs w:val="21"/>
        </w:rPr>
        <w:t xml:space="preserve">审核不通过的，应向</w:t>
      </w:r>
      <w:r>
        <w:rPr>
          <w:rFonts w:hint="eastAsia" w:ascii="宋体" w:hAnsi="宋体" w:cs="仿宋_GB2312"/>
          <w:sz w:val="21"/>
          <w:szCs w:val="21"/>
        </w:rPr>
        <w:t xml:space="preserve">中标方</w:t>
      </w:r>
      <w:r>
        <w:rPr>
          <w:rFonts w:ascii="宋体" w:hAnsi="宋体" w:cs="仿宋_GB2312"/>
          <w:sz w:val="21"/>
          <w:szCs w:val="21"/>
        </w:rPr>
        <w:t xml:space="preserve">出具书面异议说明，明确指出不达标之处。</w:t>
      </w:r>
      <w:r>
        <w:rPr>
          <w:rFonts w:hint="eastAsia" w:ascii="宋体" w:hAnsi="宋体" w:cs="仿宋_GB2312"/>
          <w:sz w:val="21"/>
          <w:szCs w:val="21"/>
        </w:rPr>
        <w:t xml:space="preserve">中标方</w:t>
      </w:r>
      <w:r>
        <w:rPr>
          <w:rFonts w:ascii="宋体" w:hAnsi="宋体" w:cs="仿宋_GB2312"/>
          <w:sz w:val="21"/>
          <w:szCs w:val="21"/>
        </w:rPr>
        <w:t xml:space="preserve">根据</w:t>
      </w:r>
      <w:r>
        <w:rPr>
          <w:rFonts w:hint="eastAsia" w:ascii="宋体" w:hAnsi="宋体" w:cs="仿宋_GB2312"/>
          <w:sz w:val="21"/>
          <w:szCs w:val="21"/>
        </w:rPr>
        <w:t xml:space="preserve">采购人</w:t>
      </w:r>
      <w:r>
        <w:rPr>
          <w:rFonts w:ascii="宋体" w:hAnsi="宋体" w:cs="仿宋_GB2312"/>
          <w:sz w:val="21"/>
          <w:szCs w:val="21"/>
        </w:rPr>
        <w:t xml:space="preserve">的异议进行修正或调整，并再次提交</w:t>
      </w:r>
      <w:r>
        <w:rPr>
          <w:rFonts w:hint="eastAsia" w:ascii="宋体" w:hAnsi="宋体" w:cs="仿宋_GB2312"/>
          <w:sz w:val="21"/>
          <w:szCs w:val="21"/>
        </w:rPr>
        <w:t xml:space="preserve">采购人</w:t>
      </w:r>
      <w:r>
        <w:rPr>
          <w:rFonts w:ascii="宋体" w:hAnsi="宋体" w:cs="仿宋_GB2312"/>
          <w:sz w:val="21"/>
          <w:szCs w:val="21"/>
        </w:rPr>
        <w:t xml:space="preserve">审核。此流程累计不得超过两次。</w:t>
      </w:r>
      <w:r/>
    </w:p>
    <w:p>
      <w:pPr>
        <w:ind w:left="0" w:firstLine="420"/>
        <w:spacing w:line="360" w:lineRule="auto"/>
        <w:widowControl w:val="off"/>
        <w:rPr>
          <w:rFonts w:ascii="宋体" w:hAnsi="宋体" w:cs="仿宋_GB2312"/>
          <w:sz w:val="21"/>
          <w:szCs w:val="21"/>
        </w:rPr>
      </w:pPr>
      <w:r>
        <w:rPr>
          <w:rFonts w:ascii="宋体" w:hAnsi="宋体" w:cs="仿宋_GB2312"/>
          <w:sz w:val="21"/>
          <w:szCs w:val="21"/>
        </w:rPr>
        <w:t xml:space="preserve">若由于</w:t>
      </w:r>
      <w:r>
        <w:rPr>
          <w:rFonts w:hint="eastAsia" w:ascii="宋体" w:hAnsi="宋体" w:cs="仿宋_GB2312"/>
          <w:sz w:val="21"/>
          <w:szCs w:val="21"/>
        </w:rPr>
        <w:t xml:space="preserve">中标方</w:t>
      </w:r>
      <w:r>
        <w:rPr>
          <w:rFonts w:ascii="宋体" w:hAnsi="宋体" w:cs="仿宋_GB2312"/>
          <w:sz w:val="21"/>
          <w:szCs w:val="21"/>
        </w:rPr>
        <w:t xml:space="preserve">原因导致交付物联系两次审核均不通过的，视为</w:t>
      </w:r>
      <w:r>
        <w:rPr>
          <w:rFonts w:hint="eastAsia" w:ascii="宋体" w:hAnsi="宋体" w:cs="仿宋_GB2312"/>
          <w:sz w:val="21"/>
          <w:szCs w:val="21"/>
        </w:rPr>
        <w:t xml:space="preserve">中标方</w:t>
      </w:r>
      <w:r>
        <w:rPr>
          <w:rFonts w:ascii="宋体" w:hAnsi="宋体" w:cs="仿宋_GB2312"/>
          <w:sz w:val="21"/>
          <w:szCs w:val="21"/>
        </w:rPr>
        <w:t xml:space="preserve">逾期提供服务，由</w:t>
      </w:r>
      <w:r>
        <w:rPr>
          <w:rFonts w:hint="eastAsia" w:ascii="宋体" w:hAnsi="宋体" w:cs="仿宋_GB2312"/>
          <w:sz w:val="21"/>
          <w:szCs w:val="21"/>
        </w:rPr>
        <w:t xml:space="preserve">中标方</w:t>
      </w:r>
      <w:r>
        <w:rPr>
          <w:rFonts w:ascii="宋体" w:hAnsi="宋体" w:cs="仿宋_GB2312"/>
          <w:sz w:val="21"/>
          <w:szCs w:val="21"/>
        </w:rPr>
        <w:t xml:space="preserve">承担相应的违约责任。</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1.3.</w:t>
      </w:r>
      <w:r>
        <w:rPr>
          <w:rFonts w:hint="eastAsia" w:ascii="宋体" w:hAnsi="宋体"/>
          <w:b/>
          <w:bCs/>
          <w:sz w:val="21"/>
          <w:szCs w:val="21"/>
        </w:rPr>
        <w:t xml:space="preserve">3</w:t>
      </w:r>
      <w:r>
        <w:rPr>
          <w:rFonts w:ascii="宋体" w:hAnsi="宋体"/>
          <w:b/>
          <w:bCs/>
          <w:sz w:val="21"/>
          <w:szCs w:val="21"/>
        </w:rPr>
        <w:t xml:space="preserve">.2.</w:t>
      </w:r>
      <w:r>
        <w:rPr>
          <w:rFonts w:hint="eastAsia" w:ascii="宋体" w:hAnsi="宋体"/>
          <w:b/>
          <w:bCs/>
          <w:sz w:val="21"/>
          <w:szCs w:val="21"/>
        </w:rPr>
        <w:t xml:space="preserve">服务计量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服务计量：按照审核通过的服务确认材料中载明的服务类型、规模进行服务计量。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服务计量的开始时间：依据审核通过的服务确认材料中载明的审核通过日期，按照审核通过之日起下一个日历月的首个日历日作为服务计量的开始时间。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服务计量的周期：中标方提供的云服务产品基于服务计量的开始时间，按日历月统计，不足一个月的按实际使用天数除以该日历月天数进行时长折算，结果值四舍五入到小数点后两位。</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每个日历月结束后5个工作日内，中标方向</w:t>
      </w:r>
      <w:r>
        <w:rPr>
          <w:rFonts w:hint="eastAsia" w:ascii="宋体" w:hAnsi="宋体" w:cs="仿宋_GB2312"/>
          <w:sz w:val="21"/>
          <w:szCs w:val="21"/>
        </w:rPr>
        <w:t xml:space="preserve">采购人</w:t>
      </w:r>
      <w:r>
        <w:rPr>
          <w:rFonts w:hint="eastAsia" w:ascii="宋体" w:hAnsi="宋体" w:cs="Times New Roman"/>
          <w:sz w:val="21"/>
          <w:szCs w:val="21"/>
        </w:rPr>
        <w:t xml:space="preserve">提交《月度</w:t>
      </w:r>
      <w:r>
        <w:rPr>
          <w:rFonts w:hint="eastAsia" w:ascii="宋体" w:hAnsi="宋体" w:cs="仿宋"/>
          <w:sz w:val="21"/>
          <w:szCs w:val="21"/>
        </w:rPr>
        <w:t xml:space="preserve">云服务费用账单》</w:t>
      </w:r>
      <w:r>
        <w:rPr>
          <w:rFonts w:hint="eastAsia" w:ascii="宋体" w:hAnsi="宋体" w:cs="Times New Roman"/>
          <w:sz w:val="21"/>
          <w:szCs w:val="21"/>
        </w:rPr>
        <w:t xml:space="preserve">（采购人可根据项目过程中的实际情况适当调整表格内容），</w:t>
      </w:r>
      <w:r>
        <w:rPr>
          <w:rFonts w:hint="eastAsia" w:ascii="宋体" w:hAnsi="宋体" w:cs="仿宋_GB2312"/>
          <w:sz w:val="21"/>
          <w:szCs w:val="21"/>
        </w:rPr>
        <w:t xml:space="preserve">采购人</w:t>
      </w:r>
      <w:r>
        <w:rPr>
          <w:rFonts w:hint="eastAsia" w:ascii="宋体" w:hAnsi="宋体" w:cs="Times New Roman"/>
          <w:sz w:val="21"/>
          <w:szCs w:val="21"/>
        </w:rPr>
        <w:t xml:space="preserve">应在收到账单之日起5个工作日内予以确认，在5个工作日内未提出合理异议的视为确认账单无误。账单如有误，在双方确认后，应该在</w:t>
      </w:r>
      <w:r>
        <w:rPr>
          <w:rFonts w:hint="eastAsia" w:ascii="宋体" w:hAnsi="宋体" w:cs="仿宋_GB2312"/>
          <w:sz w:val="21"/>
          <w:szCs w:val="21"/>
        </w:rPr>
        <w:t xml:space="preserve">采购人</w:t>
      </w:r>
      <w:r>
        <w:rPr>
          <w:rFonts w:hint="eastAsia" w:ascii="宋体" w:hAnsi="宋体" w:cs="Times New Roman"/>
          <w:sz w:val="21"/>
          <w:szCs w:val="21"/>
        </w:rPr>
        <w:t xml:space="preserve">付款前对相应服务费用进行调整。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br w:type="page" w:clear="all"/>
      </w:r>
      <w:r/>
    </w:p>
    <w:p>
      <w:pPr>
        <w:ind w:left="0" w:firstLine="420"/>
        <w:spacing w:line="360" w:lineRule="auto"/>
        <w:widowControl w:val="off"/>
        <w:rPr>
          <w:rFonts w:ascii="宋体" w:hAnsi="宋体" w:cs="仿宋"/>
          <w:sz w:val="21"/>
          <w:szCs w:val="21"/>
        </w:rPr>
      </w:pPr>
      <w:r>
        <w:rPr>
          <w:rFonts w:hint="eastAsia" w:ascii="宋体" w:hAnsi="宋体" w:cs="仿宋"/>
          <w:sz w:val="21"/>
          <w:szCs w:val="21"/>
        </w:rPr>
        <w:t xml:space="preserve">月度云服务费用账单（模版）：</w:t>
      </w:r>
      <w:r/>
    </w:p>
    <w:tbl>
      <w:tblPr>
        <w:tblStyle w:val="1024"/>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75"/>
        <w:gridCol w:w="1228"/>
        <w:gridCol w:w="1357"/>
        <w:gridCol w:w="962"/>
        <w:gridCol w:w="1405"/>
        <w:gridCol w:w="905"/>
        <w:gridCol w:w="1113"/>
        <w:gridCol w:w="1149"/>
        <w:gridCol w:w="1286"/>
      </w:tblGrid>
      <w:tr>
        <w:trPr>
          <w:jc w:val="center"/>
          <w:trHeight w:val="23"/>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firstLine="420"/>
              <w:jc w:val="center"/>
              <w:spacing w:line="360" w:lineRule="auto"/>
              <w:widowControl w:val="off"/>
              <w:rPr>
                <w:rFonts w:ascii="宋体" w:hAnsi="宋体"/>
                <w:sz w:val="21"/>
                <w:szCs w:val="21"/>
              </w:rPr>
            </w:pPr>
            <w:r>
              <w:rPr>
                <w:rFonts w:hint="eastAsia" w:ascii="宋体" w:hAnsi="宋体" w:cs="Times New Roman"/>
                <w:sz w:val="21"/>
                <w:szCs w:val="21"/>
              </w:rPr>
              <w:t xml:space="preserve">月度云服务费用账单</w:t>
            </w:r>
            <w:r/>
          </w:p>
        </w:tc>
      </w:tr>
      <w:tr>
        <w:trPr>
          <w:jc w:val="center"/>
          <w:trHeight w:val="23"/>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对账起止时间：</w:t>
            </w:r>
            <w:r/>
          </w:p>
        </w:tc>
      </w:tr>
      <w:tr>
        <w:trPr>
          <w:jc w:val="center"/>
          <w:trHeight w:val="23"/>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云服务</w:t>
            </w:r>
            <w:r>
              <w:rPr>
                <w:rFonts w:ascii="宋体" w:hAnsi="宋体"/>
                <w:sz w:val="21"/>
                <w:szCs w:val="21"/>
              </w:rPr>
              <w:t xml:space="preserve">商</w:t>
            </w:r>
            <w:r>
              <w:rPr>
                <w:rFonts w:hint="eastAsia" w:ascii="宋体" w:hAnsi="宋体"/>
                <w:sz w:val="21"/>
                <w:szCs w:val="21"/>
              </w:rPr>
              <w:t xml:space="preserve">：</w:t>
            </w:r>
            <w:r>
              <w:rPr>
                <w:rFonts w:ascii="宋体" w:hAnsi="宋体"/>
                <w:sz w:val="21"/>
                <w:szCs w:val="21"/>
              </w:rPr>
              <w:t xml:space="preserve"> </w:t>
            </w:r>
            <w:r/>
          </w:p>
        </w:tc>
      </w:tr>
      <w:tr>
        <w:trPr>
          <w:jc w:val="center"/>
          <w:trHeight w:val="23"/>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甲方</w:t>
            </w:r>
            <w:r>
              <w:rPr>
                <w:rFonts w:ascii="宋体" w:hAnsi="宋体"/>
                <w:sz w:val="21"/>
                <w:szCs w:val="21"/>
              </w:rPr>
              <w:t xml:space="preserve">：</w:t>
            </w:r>
            <w:r/>
          </w:p>
        </w:tc>
      </w:tr>
      <w:tr>
        <w:trPr>
          <w:jc w:val="center"/>
          <w:trHeight w:val="23"/>
        </w:trPr>
        <w:tc>
          <w:tcPr>
            <w:tcBorders>
              <w:top w:val="none" w:color="000000" w:sz="4" w:space="0"/>
              <w:left w:val="single" w:color="auto" w:sz="4" w:space="0"/>
              <w:bottom w:val="single" w:color="auto" w:sz="4" w:space="0"/>
              <w:right w:val="single" w:color="auto" w:sz="4" w:space="0"/>
            </w:tcBorders>
            <w:tcW w:w="335"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序号</w:t>
            </w:r>
            <w:r/>
          </w:p>
        </w:tc>
        <w:tc>
          <w:tcPr>
            <w:tcBorders>
              <w:top w:val="none" w:color="000000" w:sz="4" w:space="0"/>
              <w:left w:val="single" w:color="auto" w:sz="4" w:space="0"/>
              <w:bottom w:val="single" w:color="auto" w:sz="4" w:space="0"/>
              <w:right w:val="single" w:color="auto" w:sz="4" w:space="0"/>
            </w:tcBorders>
            <w:tcW w:w="60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云服务小类</w:t>
            </w:r>
            <w:r/>
          </w:p>
        </w:tc>
        <w:tc>
          <w:tcPr>
            <w:tcBorders>
              <w:top w:val="none" w:color="000000" w:sz="4" w:space="0"/>
              <w:left w:val="single" w:color="auto" w:sz="4" w:space="0"/>
              <w:bottom w:val="single" w:color="auto" w:sz="4" w:space="0"/>
              <w:right w:val="single" w:color="auto" w:sz="4" w:space="0"/>
            </w:tcBorders>
            <w:tcW w:w="67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交付资源/服务</w:t>
            </w:r>
            <w:r/>
          </w:p>
        </w:tc>
        <w:tc>
          <w:tcPr>
            <w:tcBorders>
              <w:top w:val="none" w:color="000000" w:sz="4" w:space="0"/>
              <w:left w:val="single" w:color="auto" w:sz="4" w:space="0"/>
              <w:bottom w:val="single" w:color="auto" w:sz="4" w:space="0"/>
              <w:right w:val="single" w:color="auto" w:sz="4" w:space="0"/>
            </w:tcBorders>
            <w:tcW w:w="47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计量单位</w:t>
            </w:r>
            <w:r/>
          </w:p>
        </w:tc>
        <w:tc>
          <w:tcPr>
            <w:tcBorders>
              <w:top w:val="none" w:color="000000" w:sz="4" w:space="0"/>
              <w:left w:val="single" w:color="auto" w:sz="4" w:space="0"/>
              <w:bottom w:val="single" w:color="auto" w:sz="4" w:space="0"/>
              <w:right w:val="single" w:color="auto" w:sz="4" w:space="0"/>
            </w:tcBorders>
            <w:tcW w:w="69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单价</w:t>
            </w:r>
            <w:r/>
          </w:p>
          <w:p>
            <w:pPr>
              <w:ind w:left="0"/>
              <w:jc w:val="center"/>
              <w:rPr>
                <w:rFonts w:ascii="宋体" w:hAnsi="宋体"/>
                <w:sz w:val="21"/>
                <w:szCs w:val="21"/>
              </w:rPr>
            </w:pPr>
            <w:r>
              <w:rPr>
                <w:rFonts w:hint="eastAsia" w:ascii="宋体" w:hAnsi="宋体"/>
                <w:sz w:val="21"/>
                <w:szCs w:val="21"/>
              </w:rPr>
              <w:t xml:space="preserve">（元/月）</w:t>
            </w:r>
            <w:r/>
          </w:p>
        </w:tc>
        <w:tc>
          <w:tcPr>
            <w:tcBorders>
              <w:top w:val="none" w:color="000000" w:sz="4" w:space="0"/>
              <w:left w:val="single" w:color="auto" w:sz="4" w:space="0"/>
              <w:bottom w:val="single" w:color="auto" w:sz="4" w:space="0"/>
              <w:right w:val="single" w:color="auto" w:sz="4" w:space="0"/>
            </w:tcBorders>
            <w:tcW w:w="449"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数量</w:t>
            </w:r>
            <w:r/>
          </w:p>
        </w:tc>
        <w:tc>
          <w:tcPr>
            <w:tcBorders>
              <w:top w:val="none" w:color="000000" w:sz="4" w:space="0"/>
              <w:left w:val="single" w:color="auto" w:sz="4" w:space="0"/>
              <w:bottom w:val="single" w:color="auto" w:sz="4" w:space="0"/>
              <w:right w:val="single" w:color="auto" w:sz="4" w:space="0"/>
            </w:tcBorders>
            <w:tcW w:w="55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服务时长</w:t>
            </w:r>
            <w:r/>
          </w:p>
        </w:tc>
        <w:tc>
          <w:tcPr>
            <w:tcBorders>
              <w:top w:val="single" w:color="auto" w:sz="4" w:space="0"/>
              <w:left w:val="single" w:color="auto" w:sz="4" w:space="0"/>
              <w:bottom w:val="single" w:color="auto" w:sz="4" w:space="0"/>
              <w:right w:val="single" w:color="auto" w:sz="4" w:space="0"/>
            </w:tcBorders>
            <w:tcW w:w="570"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应收费用小计（元）</w:t>
            </w:r>
            <w:r/>
          </w:p>
        </w:tc>
        <w:tc>
          <w:tcPr>
            <w:tcBorders>
              <w:top w:val="single" w:color="auto" w:sz="4" w:space="0"/>
              <w:left w:val="single" w:color="auto" w:sz="4" w:space="0"/>
              <w:bottom w:val="single" w:color="auto" w:sz="4" w:space="0"/>
              <w:right w:val="single" w:color="auto" w:sz="4" w:space="0"/>
            </w:tcBorders>
            <w:tcW w:w="63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应收费用合计（元）</w:t>
            </w:r>
            <w:r/>
          </w:p>
        </w:tc>
      </w:tr>
      <w:tr>
        <w:trPr>
          <w:jc w:val="center"/>
          <w:trHeight w:val="23"/>
        </w:trPr>
        <w:tc>
          <w:tcPr>
            <w:tcBorders>
              <w:top w:val="none" w:color="000000" w:sz="4" w:space="0"/>
              <w:left w:val="single" w:color="auto" w:sz="4" w:space="0"/>
              <w:bottom w:val="single" w:color="auto" w:sz="4" w:space="0"/>
              <w:right w:val="single" w:color="auto" w:sz="4" w:space="0"/>
            </w:tcBorders>
            <w:tcW w:w="335"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477"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none" w:color="000000" w:sz="4" w:space="0"/>
              <w:right w:val="single" w:color="auto" w:sz="4" w:space="0"/>
            </w:tcBorders>
            <w:tcW w:w="633"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Height w:val="23"/>
        </w:trPr>
        <w:tc>
          <w:tcPr>
            <w:tcBorders>
              <w:top w:val="none" w:color="000000" w:sz="4" w:space="0"/>
              <w:left w:val="single" w:color="auto" w:sz="4" w:space="0"/>
              <w:bottom w:val="single" w:color="auto" w:sz="4" w:space="0"/>
              <w:right w:val="single" w:color="auto" w:sz="4" w:space="0"/>
            </w:tcBorders>
            <w:tcW w:w="335"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477"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val="false"/>
          </w:tcPr>
          <w:p>
            <w:pPr>
              <w:ind w:left="0"/>
              <w:rPr>
                <w:rFonts w:ascii="宋体" w:hAnsi="宋体"/>
                <w:sz w:val="21"/>
                <w:szCs w:val="21"/>
              </w:rPr>
            </w:pPr>
            <w:r>
              <w:rPr>
                <w:rFonts w:ascii="宋体" w:hAnsi="宋体"/>
                <w:sz w:val="21"/>
                <w:szCs w:val="21"/>
              </w:rPr>
            </w:r>
            <w:r/>
          </w:p>
        </w:tc>
        <w:tc>
          <w:tcPr>
            <w:tcBorders>
              <w:left w:val="none" w:color="000000" w:sz="4" w:space="0"/>
              <w:right w:val="single" w:color="auto" w:sz="4" w:space="0"/>
            </w:tcBorders>
            <w:tcW w:w="633"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Height w:val="23"/>
        </w:trPr>
        <w:tc>
          <w:tcPr>
            <w:tcBorders>
              <w:top w:val="none" w:color="000000" w:sz="4" w:space="0"/>
              <w:left w:val="single" w:color="auto" w:sz="4" w:space="0"/>
              <w:bottom w:val="single" w:color="auto" w:sz="4" w:space="0"/>
              <w:right w:val="single" w:color="auto" w:sz="4" w:space="0"/>
            </w:tcBorders>
            <w:tcW w:w="335"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477"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val="false"/>
          </w:tcPr>
          <w:p>
            <w:pPr>
              <w:ind w:left="0"/>
              <w:rPr>
                <w:rFonts w:ascii="宋体" w:hAnsi="宋体"/>
                <w:sz w:val="21"/>
                <w:szCs w:val="21"/>
              </w:rPr>
            </w:pPr>
            <w:r>
              <w:rPr>
                <w:rFonts w:ascii="宋体" w:hAnsi="宋体"/>
                <w:sz w:val="21"/>
                <w:szCs w:val="21"/>
              </w:rPr>
            </w:r>
            <w:r/>
          </w:p>
        </w:tc>
        <w:tc>
          <w:tcPr>
            <w:tcBorders>
              <w:left w:val="none" w:color="000000" w:sz="4" w:space="0"/>
              <w:right w:val="single" w:color="auto" w:sz="4" w:space="0"/>
            </w:tcBorders>
            <w:tcW w:w="633"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Height w:val="23"/>
        </w:trPr>
        <w:tc>
          <w:tcPr>
            <w:tcBorders>
              <w:top w:val="none" w:color="000000" w:sz="4" w:space="0"/>
              <w:left w:val="single" w:color="auto" w:sz="4" w:space="0"/>
              <w:bottom w:val="single" w:color="auto" w:sz="4" w:space="0"/>
              <w:right w:val="single" w:color="auto" w:sz="4" w:space="0"/>
            </w:tcBorders>
            <w:tcW w:w="335"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09"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73"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477"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449"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52" w:type="pct"/>
            <w:vAlign w:val="center"/>
            <w:textDirection w:val="lrTb"/>
            <w:noWrap w:val="false"/>
          </w:tcPr>
          <w:p>
            <w:pPr>
              <w:ind w:left="0"/>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val="false"/>
          </w:tcPr>
          <w:p>
            <w:pPr>
              <w:ind w:left="0"/>
              <w:rPr>
                <w:rFonts w:ascii="宋体" w:hAnsi="宋体"/>
                <w:sz w:val="21"/>
                <w:szCs w:val="21"/>
              </w:rPr>
            </w:pPr>
            <w:r>
              <w:rPr>
                <w:rFonts w:ascii="宋体" w:hAnsi="宋体"/>
                <w:sz w:val="21"/>
                <w:szCs w:val="21"/>
              </w:rPr>
            </w:r>
            <w:r/>
          </w:p>
        </w:tc>
        <w:tc>
          <w:tcPr>
            <w:tcBorders>
              <w:left w:val="none" w:color="000000" w:sz="4" w:space="0"/>
              <w:bottom w:val="single" w:color="auto" w:sz="4" w:space="0"/>
              <w:right w:val="single" w:color="auto" w:sz="4" w:space="0"/>
            </w:tcBorders>
            <w:tcW w:w="633"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Height w:val="23"/>
        </w:trPr>
        <w:tc>
          <w:tcPr>
            <w:gridSpan w:val="9"/>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ind w:left="0" w:firstLine="422"/>
              <w:rPr>
                <w:rFonts w:ascii="宋体" w:hAnsi="宋体" w:cs="仿宋"/>
                <w:b/>
                <w:bCs/>
                <w:sz w:val="21"/>
                <w:szCs w:val="21"/>
              </w:rPr>
            </w:pPr>
            <w:r>
              <w:rPr>
                <w:rFonts w:hint="eastAsia" w:ascii="宋体" w:hAnsi="宋体" w:cs="仿宋"/>
                <w:b/>
                <w:bCs/>
                <w:sz w:val="21"/>
                <w:szCs w:val="21"/>
              </w:rPr>
              <w:t xml:space="preserve">备注：</w:t>
            </w:r>
            <w:r/>
          </w:p>
          <w:p>
            <w:pPr>
              <w:numPr>
                <w:ilvl w:val="0"/>
                <w:numId w:val="9"/>
              </w:numPr>
              <w:ind w:left="0"/>
              <w:rPr>
                <w:rFonts w:ascii="宋体" w:hAnsi="宋体" w:cs="仿宋"/>
                <w:b/>
                <w:bCs/>
                <w:sz w:val="21"/>
                <w:szCs w:val="21"/>
              </w:rPr>
            </w:pPr>
            <w:r>
              <w:rPr>
                <w:rFonts w:hint="eastAsia" w:ascii="宋体" w:hAnsi="宋体" w:cs="仿宋"/>
                <w:b/>
                <w:bCs/>
                <w:sz w:val="21"/>
                <w:szCs w:val="21"/>
              </w:rPr>
              <w:t xml:space="preserve">乙方收款账户信息如有变动，以乙方书面或邮件方式向甲方发送的【收款账户信息变更通知】的盖章版文件为准；</w:t>
            </w:r>
            <w:r/>
          </w:p>
          <w:p>
            <w:pPr>
              <w:numPr>
                <w:ilvl w:val="0"/>
                <w:numId w:val="9"/>
              </w:numPr>
              <w:ind w:left="0"/>
              <w:rPr>
                <w:rFonts w:ascii="宋体" w:hAnsi="宋体" w:cs="仿宋"/>
                <w:b/>
                <w:bCs/>
                <w:sz w:val="21"/>
                <w:szCs w:val="21"/>
              </w:rPr>
            </w:pPr>
            <w:r>
              <w:rPr>
                <w:rFonts w:hint="eastAsia" w:ascii="宋体" w:hAnsi="宋体" w:cs="仿宋"/>
                <w:b/>
                <w:bCs/>
                <w:sz w:val="21"/>
                <w:szCs w:val="21"/>
              </w:rPr>
              <w:t xml:space="preserve">该订单按照[银行转账或数币] 先票后款的支付方式。</w:t>
            </w:r>
            <w:r/>
          </w:p>
        </w:tc>
      </w:tr>
      <w:tr>
        <w:trPr>
          <w:jc w:val="center"/>
          <w:trHeight w:val="23"/>
        </w:trPr>
        <w:tc>
          <w:tcPr>
            <w:gridSpan w:val="9"/>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ind w:left="0" w:firstLine="420"/>
              <w:jc w:val="left"/>
              <w:rPr>
                <w:rFonts w:ascii="宋体" w:hAnsi="宋体"/>
                <w:sz w:val="21"/>
                <w:szCs w:val="21"/>
              </w:rPr>
            </w:pPr>
            <w:r>
              <w:rPr>
                <w:rFonts w:hint="eastAsia" w:ascii="宋体" w:hAnsi="宋体"/>
                <w:sz w:val="21"/>
                <w:szCs w:val="21"/>
              </w:rPr>
              <w:t xml:space="preserve">乙方</w:t>
            </w:r>
            <w:r/>
          </w:p>
          <w:p>
            <w:pPr>
              <w:ind w:left="0" w:firstLine="420"/>
              <w:jc w:val="left"/>
              <w:rPr>
                <w:rFonts w:ascii="宋体" w:hAnsi="宋体"/>
                <w:sz w:val="21"/>
                <w:szCs w:val="21"/>
              </w:rPr>
            </w:pPr>
            <w:r>
              <w:rPr>
                <w:rFonts w:hint="eastAsia" w:ascii="宋体" w:hAnsi="宋体"/>
                <w:sz w:val="21"/>
                <w:szCs w:val="21"/>
              </w:rPr>
              <w:t xml:space="preserve">盖章：</w:t>
            </w:r>
            <w:r/>
          </w:p>
          <w:p>
            <w:pPr>
              <w:ind w:left="0" w:firstLine="420"/>
              <w:jc w:val="right"/>
              <w:rPr>
                <w:rFonts w:ascii="宋体" w:hAnsi="宋体"/>
                <w:sz w:val="21"/>
                <w:szCs w:val="21"/>
              </w:rPr>
            </w:pPr>
            <w:r>
              <w:rPr>
                <w:rFonts w:hint="eastAsia" w:ascii="宋体" w:hAnsi="宋体"/>
                <w:sz w:val="21"/>
                <w:szCs w:val="21"/>
              </w:rPr>
              <w:t xml:space="preserve">年    月    日</w:t>
            </w:r>
            <w:r/>
          </w:p>
        </w:tc>
      </w:tr>
      <w:tr>
        <w:trPr>
          <w:jc w:val="center"/>
          <w:trHeight w:val="23"/>
        </w:trPr>
        <w:tc>
          <w:tcPr>
            <w:gridSpan w:val="9"/>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ind w:left="0" w:firstLine="420"/>
              <w:jc w:val="left"/>
              <w:rPr>
                <w:rFonts w:ascii="宋体" w:hAnsi="宋体"/>
                <w:sz w:val="21"/>
                <w:szCs w:val="21"/>
              </w:rPr>
            </w:pPr>
            <w:r>
              <w:rPr>
                <w:rFonts w:hint="eastAsia" w:ascii="宋体" w:hAnsi="宋体"/>
                <w:sz w:val="21"/>
                <w:szCs w:val="21"/>
              </w:rPr>
              <w:t xml:space="preserve">第三方（如有）</w:t>
            </w:r>
            <w:r/>
          </w:p>
          <w:p>
            <w:pPr>
              <w:ind w:left="0" w:firstLine="420"/>
              <w:jc w:val="left"/>
              <w:rPr>
                <w:rFonts w:ascii="宋体" w:hAnsi="宋体"/>
                <w:sz w:val="21"/>
                <w:szCs w:val="21"/>
              </w:rPr>
            </w:pPr>
            <w:r>
              <w:rPr>
                <w:rFonts w:hint="eastAsia" w:ascii="宋体" w:hAnsi="宋体"/>
                <w:sz w:val="21"/>
                <w:szCs w:val="21"/>
              </w:rPr>
              <w:t xml:space="preserve">盖章：</w:t>
            </w:r>
            <w:r/>
          </w:p>
          <w:p>
            <w:pPr>
              <w:ind w:left="0" w:firstLine="420"/>
              <w:jc w:val="right"/>
              <w:rPr>
                <w:rFonts w:ascii="宋体" w:hAnsi="宋体"/>
                <w:sz w:val="21"/>
                <w:szCs w:val="21"/>
              </w:rPr>
            </w:pPr>
            <w:r>
              <w:rPr>
                <w:rFonts w:hint="eastAsia" w:ascii="宋体" w:hAnsi="宋体"/>
                <w:sz w:val="21"/>
                <w:szCs w:val="21"/>
              </w:rPr>
              <w:t xml:space="preserve">年    月    日</w:t>
            </w:r>
            <w:r/>
          </w:p>
        </w:tc>
      </w:tr>
      <w:tr>
        <w:trPr>
          <w:jc w:val="center"/>
          <w:trHeight w:val="23"/>
        </w:trPr>
        <w:tc>
          <w:tcPr>
            <w:gridSpan w:val="9"/>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ind w:left="0" w:firstLine="420"/>
              <w:jc w:val="left"/>
              <w:rPr>
                <w:rFonts w:ascii="宋体" w:hAnsi="宋体"/>
                <w:sz w:val="21"/>
                <w:szCs w:val="21"/>
              </w:rPr>
            </w:pPr>
            <w:r>
              <w:rPr>
                <w:rFonts w:hint="eastAsia" w:ascii="宋体" w:hAnsi="宋体"/>
                <w:sz w:val="21"/>
                <w:szCs w:val="21"/>
              </w:rPr>
              <w:t xml:space="preserve">甲方</w:t>
            </w:r>
            <w:r/>
          </w:p>
          <w:p>
            <w:pPr>
              <w:ind w:left="0" w:firstLine="420"/>
              <w:jc w:val="left"/>
              <w:rPr>
                <w:rFonts w:ascii="宋体" w:hAnsi="宋体" w:cs="Times New Roman"/>
                <w:sz w:val="21"/>
                <w:szCs w:val="21"/>
              </w:rPr>
            </w:pPr>
            <w:r>
              <w:rPr>
                <w:rFonts w:hint="eastAsia" w:ascii="宋体" w:hAnsi="宋体"/>
                <w:sz w:val="21"/>
                <w:szCs w:val="21"/>
              </w:rPr>
              <w:t xml:space="preserve">盖章：</w:t>
            </w:r>
            <w:r/>
          </w:p>
          <w:p>
            <w:pPr>
              <w:ind w:left="0" w:firstLine="420"/>
              <w:jc w:val="right"/>
              <w:rPr>
                <w:rFonts w:ascii="宋体" w:hAnsi="宋体" w:cs="仿宋"/>
                <w:b/>
                <w:bCs/>
                <w:sz w:val="21"/>
                <w:szCs w:val="21"/>
              </w:rPr>
            </w:pPr>
            <w:r>
              <w:rPr>
                <w:rFonts w:hint="eastAsia" w:ascii="宋体" w:hAnsi="宋体"/>
                <w:sz w:val="21"/>
                <w:szCs w:val="21"/>
              </w:rPr>
              <w:t xml:space="preserve">年    月    日</w:t>
            </w:r>
            <w:r/>
          </w:p>
        </w:tc>
      </w:tr>
    </w:tbl>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1.3.</w:t>
      </w:r>
      <w:r>
        <w:rPr>
          <w:rFonts w:hint="eastAsia" w:ascii="宋体" w:hAnsi="宋体"/>
          <w:b/>
          <w:bCs/>
          <w:sz w:val="21"/>
          <w:szCs w:val="21"/>
        </w:rPr>
        <w:t xml:space="preserve">3</w:t>
      </w:r>
      <w:r>
        <w:rPr>
          <w:rFonts w:ascii="宋体" w:hAnsi="宋体"/>
          <w:b/>
          <w:bCs/>
          <w:sz w:val="21"/>
          <w:szCs w:val="21"/>
        </w:rPr>
        <w:t xml:space="preserve">.3.</w:t>
      </w:r>
      <w:r>
        <w:rPr>
          <w:rFonts w:hint="eastAsia" w:ascii="宋体" w:hAnsi="宋体"/>
          <w:b/>
          <w:bCs/>
          <w:sz w:val="21"/>
          <w:szCs w:val="21"/>
        </w:rPr>
        <w:t xml:space="preserve">服务计费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云资源费用计算公式为：云资源费用=云服务单价×数量×服务时长。其中，云服务单价=采购标的清单限价×</w:t>
      </w:r>
      <w:r>
        <w:rPr>
          <w:rFonts w:ascii="宋体" w:hAnsi="宋体" w:cs="Times New Roman"/>
          <w:sz w:val="21"/>
          <w:szCs w:val="21"/>
        </w:rPr>
        <w:t xml:space="preserve">单价（</w:t>
      </w:r>
      <w:r>
        <w:rPr>
          <w:rFonts w:hint="eastAsia" w:ascii="宋体" w:hAnsi="宋体" w:cs="Times New Roman"/>
          <w:sz w:val="21"/>
          <w:szCs w:val="21"/>
        </w:rPr>
        <w:t xml:space="preserve">限价</w:t>
      </w:r>
      <w:r>
        <w:rPr>
          <w:rFonts w:ascii="宋体" w:hAnsi="宋体" w:cs="Times New Roman"/>
          <w:sz w:val="21"/>
          <w:szCs w:val="21"/>
        </w:rPr>
        <w:t xml:space="preserve">）</w:t>
      </w:r>
      <w:r>
        <w:rPr>
          <w:rFonts w:hint="eastAsia" w:ascii="宋体" w:hAnsi="宋体" w:cs="Times New Roman"/>
          <w:sz w:val="21"/>
          <w:szCs w:val="21"/>
        </w:rPr>
        <w:t xml:space="preserve">折扣。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云资源费用按照实际核准云服务产品用量计算，</w:t>
      </w:r>
      <w:r>
        <w:rPr>
          <w:rFonts w:ascii="宋体" w:hAnsi="宋体" w:cs="Times New Roman"/>
          <w:sz w:val="21"/>
          <w:szCs w:val="21"/>
        </w:rPr>
        <w:t xml:space="preserve">对于发生故障的云服务产品，</w:t>
      </w:r>
      <w:r>
        <w:rPr>
          <w:rFonts w:hint="eastAsia" w:ascii="宋体" w:hAnsi="宋体" w:cs="Times New Roman"/>
          <w:sz w:val="21"/>
          <w:szCs w:val="21"/>
        </w:rPr>
        <w:t xml:space="preserve">按照《服务</w:t>
      </w:r>
      <w:r>
        <w:rPr>
          <w:rFonts w:ascii="宋体" w:hAnsi="宋体" w:cs="Times New Roman"/>
          <w:sz w:val="21"/>
          <w:szCs w:val="21"/>
        </w:rPr>
        <w:t xml:space="preserve">质量季度考核表</w:t>
      </w:r>
      <w:r>
        <w:rPr>
          <w:rFonts w:hint="eastAsia" w:ascii="宋体" w:hAnsi="宋体" w:cs="Times New Roman"/>
          <w:sz w:val="21"/>
          <w:szCs w:val="21"/>
        </w:rPr>
        <w:t xml:space="preserve">》对中标方的服务质量进行核准打分。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中标方</w:t>
      </w:r>
      <w:r>
        <w:rPr>
          <w:rFonts w:ascii="宋体" w:hAnsi="宋体" w:cs="Times New Roman"/>
          <w:sz w:val="21"/>
          <w:szCs w:val="21"/>
        </w:rPr>
        <w:t xml:space="preserve">须确保</w:t>
      </w:r>
      <w:r>
        <w:rPr>
          <w:rFonts w:hint="eastAsia" w:ascii="宋体" w:hAnsi="宋体" w:cs="Times New Roman"/>
          <w:sz w:val="21"/>
          <w:szCs w:val="21"/>
        </w:rPr>
        <w:t xml:space="preserve">所</w:t>
      </w:r>
      <w:r>
        <w:rPr>
          <w:rFonts w:ascii="宋体" w:hAnsi="宋体" w:cs="Times New Roman"/>
          <w:sz w:val="21"/>
          <w:szCs w:val="21"/>
        </w:rPr>
        <w:t xml:space="preserve">提交的云服务计量统计数据的真实性和准确性，如</w:t>
      </w:r>
      <w:r>
        <w:rPr>
          <w:rFonts w:hint="eastAsia" w:ascii="宋体" w:hAnsi="宋体" w:cs="Times New Roman"/>
          <w:sz w:val="21"/>
          <w:szCs w:val="21"/>
        </w:rPr>
        <w:t xml:space="preserve">查实存在</w:t>
      </w:r>
      <w:r>
        <w:rPr>
          <w:rFonts w:ascii="宋体" w:hAnsi="宋体" w:cs="Times New Roman"/>
          <w:sz w:val="21"/>
          <w:szCs w:val="21"/>
        </w:rPr>
        <w:t xml:space="preserve">数据错误情况，采购人将</w:t>
      </w:r>
      <w:r>
        <w:rPr>
          <w:rFonts w:hint="eastAsia" w:ascii="宋体" w:hAnsi="宋体" w:cs="Times New Roman"/>
          <w:sz w:val="21"/>
          <w:szCs w:val="21"/>
        </w:rPr>
        <w:t xml:space="preserve">对中标方的</w:t>
      </w:r>
      <w:r>
        <w:rPr>
          <w:rFonts w:ascii="宋体" w:hAnsi="宋体" w:cs="Times New Roman"/>
          <w:sz w:val="21"/>
          <w:szCs w:val="21"/>
        </w:rPr>
        <w:t xml:space="preserve">服务质量进行考核</w:t>
      </w:r>
      <w:r>
        <w:rPr>
          <w:rFonts w:hint="eastAsia" w:ascii="宋体" w:hAnsi="宋体" w:cs="Times New Roman"/>
          <w:sz w:val="21"/>
          <w:szCs w:val="21"/>
        </w:rPr>
        <w:t xml:space="preserve">。</w:t>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1.3.</w:t>
      </w:r>
      <w:r>
        <w:rPr>
          <w:rFonts w:hint="eastAsia" w:ascii="宋体" w:hAnsi="宋体"/>
          <w:b/>
          <w:bCs/>
          <w:sz w:val="21"/>
          <w:szCs w:val="21"/>
        </w:rPr>
        <w:t xml:space="preserve">4</w:t>
      </w:r>
      <w:r>
        <w:rPr>
          <w:rFonts w:ascii="宋体" w:hAnsi="宋体"/>
          <w:b/>
          <w:bCs/>
          <w:sz w:val="21"/>
          <w:szCs w:val="21"/>
        </w:rPr>
        <w:t xml:space="preserve">.</w:t>
      </w:r>
      <w:r>
        <w:rPr>
          <w:rFonts w:hint="eastAsia" w:ascii="宋体" w:hAnsi="宋体"/>
          <w:b/>
          <w:bCs/>
          <w:sz w:val="21"/>
          <w:szCs w:val="21"/>
        </w:rPr>
        <w:t xml:space="preserve">服务考核</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采购人对中标方的服务质量每连续3个月考核一次。甲方在使用过程中对服务质量季度考核事项进行数据采集，在每连续3个月服务期结束后10个工作日内，填写《云服务质量季度考核事项表》（采购人将根据项目过程中的实际情况调整表格内容）并提交采购人。每连续3个月服务期结束后15个工作日内，由采购人组织相关人员对《云服务质量季度考核事项表》进行整理，最终由采购人对中标方的服务质量进行核准打分，</w:t>
      </w:r>
      <w:r>
        <w:rPr>
          <w:rFonts w:ascii="宋体" w:hAnsi="宋体" w:cs="Times New Roman"/>
          <w:sz w:val="21"/>
          <w:szCs w:val="21"/>
        </w:rPr>
        <w:t xml:space="preserve">形成</w:t>
      </w:r>
      <w:r>
        <w:rPr>
          <w:rFonts w:hint="eastAsia" w:ascii="宋体" w:hAnsi="宋体" w:cs="Times New Roman"/>
          <w:sz w:val="21"/>
          <w:szCs w:val="21"/>
        </w:rPr>
        <w:t xml:space="preserve">《服务</w:t>
      </w:r>
      <w:r>
        <w:rPr>
          <w:rFonts w:ascii="宋体" w:hAnsi="宋体" w:cs="Times New Roman"/>
          <w:sz w:val="21"/>
          <w:szCs w:val="21"/>
        </w:rPr>
        <w:t xml:space="preserve">质量季度考核表</w:t>
      </w:r>
      <w:r>
        <w:rPr>
          <w:rFonts w:hint="eastAsia" w:ascii="宋体" w:hAnsi="宋体" w:cs="Times New Roman"/>
          <w:sz w:val="21"/>
          <w:szCs w:val="21"/>
        </w:rPr>
        <w:t xml:space="preserve">》（采购人将根据项目过程中的实际情况调整表格内容）。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根据打分结果确定中标方服务质量季度考核情况，具体如下：</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90≤得分≤100，服务质量季度考核为达标；得分＜90，服务质量季度考核为不达标。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若服务考核出现不达标的情况，则暂停新的云资源和云服务的发放，直至中标方整改完毕并通过采购人组织的核验后方能恢复，期间造成的所有损失将由云服务商承担。</w:t>
      </w:r>
      <w:r/>
    </w:p>
    <w:tbl>
      <w:tblPr>
        <w:tblStyle w:val="102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25"/>
        <w:gridCol w:w="1734"/>
        <w:gridCol w:w="4407"/>
        <w:gridCol w:w="1960"/>
        <w:gridCol w:w="554"/>
      </w:tblGrid>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cs="仿宋_GB2312"/>
                <w:sz w:val="21"/>
                <w:szCs w:val="21"/>
              </w:rPr>
            </w:pPr>
            <w:r>
              <w:rPr>
                <w:rFonts w:hint="eastAsia" w:ascii="宋体" w:hAnsi="宋体" w:cs="Times New Roman"/>
                <w:sz w:val="21"/>
                <w:szCs w:val="21"/>
              </w:rPr>
              <w:t xml:space="preserve">云</w:t>
            </w:r>
            <w:r>
              <w:rPr>
                <w:rFonts w:hint="eastAsia" w:ascii="宋体" w:hAnsi="宋体" w:cs="仿宋_GB2312"/>
                <w:sz w:val="21"/>
                <w:szCs w:val="21"/>
                <w:lang w:bidi="ar"/>
              </w:rPr>
              <w:t xml:space="preserve">服务质量季度考核事项表</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考核起止时间：</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云服务商：</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甲方：</w:t>
            </w:r>
            <w:r/>
          </w:p>
        </w:tc>
      </w:tr>
      <w:tr>
        <w:trPr>
          <w:trHeight w:val="285"/>
        </w:trPr>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服务要求</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细项</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描述项</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考核事项</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备注</w:t>
            </w:r>
            <w:r/>
          </w:p>
        </w:tc>
      </w:tr>
      <w:tr>
        <w:trPr>
          <w:trHeight w:val="570"/>
        </w:trPr>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技术要求响应</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所提供服务对招标文件中技术要求的满足情况</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中标方在服务考核周期中不满足招标文件、投标文件、合同要求的情况。</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XX服务不满足XX条款</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707" w:type="pct"/>
            <w:vAlign w:val="center"/>
            <w:vMerge w:val="restart"/>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服务时效性</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正式资源要求</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中标方收到服务开通单据后，未能按照</w:t>
            </w:r>
            <w:r>
              <w:rPr>
                <w:rFonts w:hint="eastAsia" w:ascii="宋体" w:hAnsi="宋体" w:cs="仿宋_GB2312"/>
                <w:sz w:val="21"/>
                <w:szCs w:val="21"/>
              </w:rPr>
              <w:t xml:space="preserve">苏州市政务云主管部门和运行管理机构发布的相关要求</w:t>
            </w:r>
            <w:r>
              <w:rPr>
                <w:rFonts w:hint="eastAsia" w:ascii="宋体" w:hAnsi="宋体" w:cs="仿宋_GB2312"/>
                <w:sz w:val="21"/>
                <w:szCs w:val="21"/>
                <w:lang w:bidi="ar"/>
              </w:rPr>
              <w:t xml:space="preserve">，在时限内完成相关服务的开通。</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XX服务开通单据未满足</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资源调整要求</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正式资源运行过程中，中标方收到服务调整单据后，未能按照</w:t>
            </w:r>
            <w:r>
              <w:rPr>
                <w:rFonts w:hint="eastAsia" w:ascii="宋体" w:hAnsi="宋体" w:cs="仿宋_GB2312"/>
                <w:sz w:val="21"/>
                <w:szCs w:val="21"/>
              </w:rPr>
              <w:t xml:space="preserve">苏州市政务云主管部门和运行管理机构发布的相关要求</w:t>
            </w:r>
            <w:r>
              <w:rPr>
                <w:rFonts w:hint="eastAsia" w:ascii="宋体" w:hAnsi="宋体" w:cs="仿宋_GB2312"/>
                <w:sz w:val="21"/>
                <w:szCs w:val="21"/>
                <w:lang w:bidi="ar"/>
              </w:rPr>
              <w:t xml:space="preserve">，在时限内完成相关服务的调整。</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XX服务调整单据未满足</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707" w:type="pct"/>
            <w:vAlign w:val="center"/>
            <w:vMerge w:val="restart"/>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服务可用性</w:t>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服务可用率</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单个云服务可用率计算公式：服务可用率=正常运行时间/（正常运行时间+服务中断时间）。</w:t>
            </w:r>
            <w:r>
              <w:rPr>
                <w:rFonts w:hint="eastAsia" w:ascii="宋体" w:hAnsi="宋体" w:cs="仿宋_GB2312"/>
                <w:sz w:val="21"/>
                <w:szCs w:val="21"/>
                <w:lang w:bidi="ar"/>
              </w:rPr>
              <w:br/>
            </w:r>
            <w:r>
              <w:rPr>
                <w:rFonts w:hint="eastAsia" w:ascii="宋体" w:hAnsi="宋体" w:cs="仿宋_GB2312"/>
                <w:sz w:val="21"/>
                <w:szCs w:val="21"/>
                <w:lang w:bidi="ar"/>
              </w:rPr>
              <w:t xml:space="preserve">服务中断时间剔除可允许的服务不可用时间，如提前沟通明确的计划内系统升级维护、配置变更，不可抗力的原因等。</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XX云产品正常运行时间XX，服务中断时间XX</w:t>
            </w:r>
            <w:r/>
          </w:p>
        </w:tc>
        <w:tc>
          <w:tcPr>
            <w:tcBorders>
              <w:top w:val="single" w:color="000000" w:sz="4" w:space="0"/>
              <w:left w:val="single" w:color="000000" w:sz="4" w:space="0"/>
              <w:bottom w:val="single" w:color="000000" w:sz="4" w:space="0"/>
              <w:right w:val="single" w:color="000000" w:sz="4" w:space="0"/>
            </w:tcBorders>
            <w:tcW w:w="273" w:type="pct"/>
            <w:vAlign w:val="center"/>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云平台整体服务中断</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因机房或云平台等故障造成云平台整体服务中断。</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XX年XX月XX日XX时至XX时，X云平台整体服务中断</w:t>
            </w:r>
            <w:r/>
          </w:p>
        </w:tc>
        <w:tc>
          <w:tcPr>
            <w:tcBorders>
              <w:top w:val="single" w:color="000000" w:sz="4" w:space="0"/>
              <w:left w:val="single" w:color="000000" w:sz="4" w:space="0"/>
              <w:bottom w:val="single" w:color="000000" w:sz="4" w:space="0"/>
              <w:right w:val="single" w:color="000000" w:sz="4" w:space="0"/>
            </w:tcBorders>
            <w:tcW w:w="273" w:type="pct"/>
            <w:vAlign w:val="center"/>
            <w:vMerge w:val="restart"/>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因机房或云平台等故障同时造成超过3个（含）业务系统主要功能访问中断。</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XX年XX月XX日XX时至XX时，X个业务系统主要功能访问中断</w:t>
            </w:r>
            <w:r/>
          </w:p>
        </w:tc>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07" w:type="pct"/>
            <w:vAlign w:val="center"/>
            <w:vMerge w:val="restart"/>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服务安全性</w:t>
            </w:r>
            <w:r/>
          </w:p>
        </w:tc>
        <w:tc>
          <w:tcPr>
            <w:tcBorders>
              <w:top w:val="single" w:color="000000" w:sz="4" w:space="0"/>
              <w:left w:val="single" w:color="000000" w:sz="4" w:space="0"/>
              <w:bottom w:val="single" w:color="000000" w:sz="4" w:space="0"/>
              <w:right w:val="single" w:color="000000" w:sz="4" w:space="0"/>
            </w:tcBorders>
            <w:tcW w:w="860" w:type="pct"/>
            <w:vAlign w:val="center"/>
            <w:vMerge w:val="restart"/>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篡改事件</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因云平台自身安全措施问题导致云上业务系统被恶意篡改，事件造成严重影响的。</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XX年XX月XX日XX业务系统被恶意篡改，被XX通报</w:t>
            </w:r>
            <w:r/>
          </w:p>
        </w:tc>
        <w:tc>
          <w:tcPr>
            <w:tcBorders>
              <w:top w:val="single" w:color="000000" w:sz="4" w:space="0"/>
              <w:left w:val="single" w:color="000000" w:sz="4" w:space="0"/>
              <w:bottom w:val="single" w:color="000000" w:sz="4" w:space="0"/>
              <w:right w:val="single" w:color="000000" w:sz="4" w:space="0"/>
            </w:tcBorders>
            <w:tcW w:w="273" w:type="pct"/>
            <w:vAlign w:val="center"/>
            <w:vMerge w:val="restart"/>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60"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因云平台自身安全措施问题导致云上业务系统被恶意篡改。</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XX年XX月XX日XX业务系统被恶意篡改</w:t>
            </w:r>
            <w:r/>
          </w:p>
        </w:tc>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数据泄露</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因云平台自身安全措施问题导致云上业务系统个人敏感信息或公共数据泄露。</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XX年XX月XX日XX业务系统个人敏感信息或公共数据泄露</w:t>
            </w:r>
            <w:r/>
          </w:p>
        </w:tc>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数据丢失</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因云平台自身安全措施问题造成云上业务系统丢失数据且数据无法恢复。</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XX年XX月XX日XX业务系统丢失数据且数据无法恢复</w:t>
            </w:r>
            <w:r/>
          </w:p>
        </w:tc>
        <w:tc>
          <w:tcPr>
            <w:tcBorders>
              <w:top w:val="single" w:color="000000" w:sz="4" w:space="0"/>
              <w:left w:val="single" w:color="000000" w:sz="4" w:space="0"/>
              <w:bottom w:val="single" w:color="000000" w:sz="4" w:space="0"/>
              <w:right w:val="single" w:color="000000" w:sz="4" w:space="0"/>
            </w:tcBorders>
            <w:tcW w:w="273" w:type="pct"/>
            <w:vAlign w:val="center"/>
            <w:vMerge w:val="restart"/>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07"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60"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安全通报</w:t>
            </w:r>
            <w:r/>
          </w:p>
        </w:tc>
        <w:tc>
          <w:tcPr>
            <w:tcBorders>
              <w:top w:val="single" w:color="000000" w:sz="4" w:space="0"/>
              <w:left w:val="single" w:color="000000" w:sz="4" w:space="0"/>
              <w:bottom w:val="single" w:color="000000" w:sz="4" w:space="0"/>
              <w:right w:val="single" w:color="000000" w:sz="4" w:space="0"/>
            </w:tcBorders>
            <w:tcW w:w="2186"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因云平台自身原因，导致被网络数据安全主管部门通报云平台发生网络安全事件。</w:t>
            </w:r>
            <w:r/>
          </w:p>
        </w:tc>
        <w:tc>
          <w:tcPr>
            <w:tcBorders>
              <w:top w:val="single" w:color="000000" w:sz="4" w:space="0"/>
              <w:left w:val="single" w:color="000000" w:sz="4" w:space="0"/>
              <w:bottom w:val="single" w:color="000000" w:sz="4" w:space="0"/>
              <w:right w:val="single" w:color="000000" w:sz="4" w:space="0"/>
            </w:tcBorders>
            <w:tcW w:w="97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XX年XX月XX日被XX部门通报云平台发生网络安全事件</w:t>
            </w:r>
            <w:r/>
          </w:p>
        </w:tc>
        <w:tc>
          <w:tcPr>
            <w:tcBorders>
              <w:top w:val="single" w:color="000000" w:sz="4" w:space="0"/>
              <w:left w:val="single" w:color="000000" w:sz="4" w:space="0"/>
              <w:bottom w:val="single" w:color="000000" w:sz="4" w:space="0"/>
              <w:right w:val="single" w:color="000000" w:sz="4" w:space="0"/>
            </w:tcBorders>
            <w:tcW w:w="273"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第三方（如有）</w:t>
            </w:r>
            <w:r>
              <w:rPr>
                <w:rFonts w:hint="eastAsia" w:ascii="宋体" w:hAnsi="宋体" w:cs="仿宋_GB2312"/>
                <w:sz w:val="21"/>
                <w:szCs w:val="21"/>
                <w:lang w:bidi="ar"/>
              </w:rPr>
              <w:t xml:space="preserve">意见：</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盖章：</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right"/>
              <w:rPr>
                <w:rFonts w:ascii="宋体" w:hAnsi="宋体" w:cs="仿宋_GB2312"/>
                <w:sz w:val="21"/>
                <w:szCs w:val="21"/>
              </w:rPr>
            </w:pPr>
            <w:r>
              <w:rPr>
                <w:rFonts w:hint="eastAsia" w:ascii="宋体" w:hAnsi="宋体" w:cs="仿宋_GB2312"/>
                <w:sz w:val="21"/>
                <w:szCs w:val="21"/>
                <w:lang w:bidi="ar"/>
              </w:rPr>
              <w:t xml:space="preserve">年 </w:t>
            </w:r>
            <w:r>
              <w:rPr>
                <w:rFonts w:hint="eastAsia" w:ascii="宋体" w:hAnsi="宋体" w:cs="仿宋_GB2312"/>
                <w:sz w:val="21"/>
                <w:szCs w:val="21"/>
                <w:lang w:bidi="ar"/>
              </w:rPr>
              <w:t xml:space="preserve">   月    日</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甲方意见：</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盖章：</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right"/>
              <w:rPr>
                <w:rFonts w:ascii="宋体" w:hAnsi="宋体" w:cs="仿宋_GB2312"/>
                <w:sz w:val="21"/>
                <w:szCs w:val="21"/>
              </w:rPr>
            </w:pPr>
            <w:r>
              <w:rPr>
                <w:rFonts w:hint="eastAsia" w:ascii="宋体" w:hAnsi="宋体" w:cs="仿宋_GB2312"/>
                <w:sz w:val="21"/>
                <w:szCs w:val="21"/>
                <w:lang w:bidi="ar"/>
              </w:rPr>
              <w:t xml:space="preserve">年 </w:t>
            </w:r>
            <w:r>
              <w:rPr>
                <w:rFonts w:hint="eastAsia" w:ascii="宋体" w:hAnsi="宋体" w:cs="仿宋_GB2312"/>
                <w:sz w:val="21"/>
                <w:szCs w:val="21"/>
                <w:lang w:bidi="ar"/>
              </w:rPr>
              <w:t xml:space="preserve">   月    日</w:t>
            </w:r>
            <w:r/>
          </w:p>
        </w:tc>
      </w:tr>
    </w:tbl>
    <w:p>
      <w:pPr>
        <w:ind w:firstLine="420"/>
        <w:spacing w:line="360" w:lineRule="auto"/>
        <w:widowControl w:val="off"/>
        <w:rPr>
          <w:rFonts w:ascii="宋体" w:hAnsi="宋体" w:cs="Times New Roman"/>
          <w:sz w:val="21"/>
          <w:szCs w:val="21"/>
        </w:rPr>
      </w:pPr>
      <w:r>
        <w:rPr>
          <w:rFonts w:ascii="宋体" w:hAnsi="宋体" w:cs="Times New Roman"/>
          <w:sz w:val="21"/>
          <w:szCs w:val="21"/>
        </w:rPr>
      </w:r>
      <w:r/>
    </w:p>
    <w:tbl>
      <w:tblPr>
        <w:tblStyle w:val="102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502"/>
        <w:gridCol w:w="1659"/>
        <w:gridCol w:w="3834"/>
        <w:gridCol w:w="2514"/>
        <w:gridCol w:w="571"/>
      </w:tblGrid>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服务质量季度考核表</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考核起止时间：</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云服务商：</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甲方：</w:t>
            </w:r>
            <w:r/>
          </w:p>
        </w:tc>
      </w:tr>
      <w:tr>
        <w:trPr>
          <w:trHeight w:val="570"/>
        </w:trPr>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服务要求</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细项</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描述项</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扣分标准</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扣分值</w:t>
            </w:r>
            <w:r/>
          </w:p>
        </w:tc>
      </w:tr>
      <w:tr>
        <w:trPr>
          <w:trHeight w:val="570"/>
        </w:trPr>
        <w:tc>
          <w:tcPr>
            <w:tcBorders>
              <w:top w:val="single" w:color="000000" w:sz="4" w:space="0"/>
              <w:left w:val="single" w:color="000000" w:sz="4" w:space="0"/>
              <w:bottom w:val="single" w:color="000000" w:sz="4" w:space="0"/>
              <w:right w:val="single" w:color="000000" w:sz="4" w:space="0"/>
            </w:tcBorders>
            <w:tcW w:w="745"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技术要求响应</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所提供服务对招标文件中技术要求的满足情况</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中标方在服务考核周期中不满足招标文件、投标文件、合同要求的情况。</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每项不满足项扣</w:t>
            </w:r>
            <w:r>
              <w:rPr>
                <w:rFonts w:hint="eastAsia" w:ascii="宋体" w:hAnsi="宋体"/>
                <w:sz w:val="21"/>
                <w:szCs w:val="21"/>
                <w:lang w:bidi="ar"/>
              </w:rPr>
              <w:t xml:space="preserve">1</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ind w:left="0" w:firstLine="420"/>
              <w:jc w:val="left"/>
              <w:spacing w:line="360" w:lineRule="auto"/>
              <w:widowControl w:val="off"/>
              <w:rPr>
                <w:rFonts w:ascii="宋体" w:hAnsi="宋体"/>
                <w:sz w:val="21"/>
                <w:szCs w:val="21"/>
              </w:rPr>
            </w:pPr>
            <w:r>
              <w:rPr>
                <w:rFonts w:ascii="宋体" w:hAnsi="宋体"/>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服务时效性</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正式资源要求</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中标方收到正式资源工单2个工作日内未能完成正式资源的交付。</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每个工单扣</w:t>
            </w:r>
            <w:r>
              <w:rPr>
                <w:rFonts w:hint="eastAsia" w:ascii="宋体" w:hAnsi="宋体"/>
                <w:sz w:val="21"/>
                <w:szCs w:val="21"/>
                <w:lang w:bidi="ar"/>
              </w:rPr>
              <w:t xml:space="preserve">0.5</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ind w:left="0" w:firstLine="420"/>
              <w:jc w:val="left"/>
              <w:spacing w:line="360" w:lineRule="auto"/>
              <w:widowControl w:val="off"/>
              <w:rPr>
                <w:rFonts w:ascii="宋体" w:hAnsi="宋体"/>
                <w:sz w:val="21"/>
                <w:szCs w:val="21"/>
              </w:rPr>
            </w:pPr>
            <w:r>
              <w:rPr>
                <w:rFonts w:ascii="宋体" w:hAnsi="宋体"/>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资源调整要求</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正式资源运行过程中，中标方收到正式资源调整工单1个工作日内未能完成上云单位的调整。</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每个工单扣</w:t>
            </w:r>
            <w:r>
              <w:rPr>
                <w:rFonts w:hint="eastAsia" w:ascii="宋体" w:hAnsi="宋体"/>
                <w:sz w:val="21"/>
                <w:szCs w:val="21"/>
                <w:lang w:bidi="ar"/>
              </w:rPr>
              <w:t xml:space="preserve">0.5</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ind w:left="0" w:firstLine="420"/>
              <w:jc w:val="left"/>
              <w:spacing w:line="360" w:lineRule="auto"/>
              <w:widowControl w:val="off"/>
              <w:rPr>
                <w:rFonts w:ascii="宋体" w:hAnsi="宋体"/>
                <w:sz w:val="21"/>
                <w:szCs w:val="21"/>
              </w:rPr>
            </w:pPr>
            <w:r>
              <w:rPr>
                <w:rFonts w:ascii="宋体" w:hAnsi="宋体"/>
                <w:sz w:val="21"/>
                <w:szCs w:val="21"/>
              </w:rPr>
            </w:r>
            <w:r/>
          </w:p>
        </w:tc>
      </w:tr>
      <w:tr>
        <w:trPr>
          <w:trHeight w:val="855"/>
        </w:trPr>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服务可用性</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服务可用率</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单个云服务可用率计算公式：服务可用率=正常运行时间/（正常运行时间+服务中断时间）。</w:t>
            </w:r>
            <w:r>
              <w:rPr>
                <w:rFonts w:hint="eastAsia" w:ascii="宋体" w:hAnsi="宋体" w:cs="仿宋_GB2312"/>
                <w:sz w:val="21"/>
                <w:szCs w:val="21"/>
                <w:lang w:bidi="ar"/>
              </w:rPr>
              <w:br/>
            </w:r>
            <w:r>
              <w:rPr>
                <w:rFonts w:hint="eastAsia" w:ascii="宋体" w:hAnsi="宋体" w:cs="仿宋_GB2312"/>
                <w:sz w:val="21"/>
                <w:szCs w:val="21"/>
                <w:lang w:bidi="ar"/>
              </w:rPr>
              <w:t xml:space="preserve">服务中断时间剔除可允许的服务不可用时间，如提前沟通明确的计划内系统升级维护、配置变更，不可抗力的原因等。</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w:t>
            </w:r>
            <w:r>
              <w:rPr>
                <w:rFonts w:hint="eastAsia" w:ascii="宋体" w:hAnsi="宋体"/>
                <w:sz w:val="21"/>
                <w:szCs w:val="21"/>
                <w:lang w:bidi="ar"/>
              </w:rPr>
              <w:t xml:space="preserve">1</w:t>
            </w:r>
            <w:r>
              <w:rPr>
                <w:rFonts w:hint="eastAsia" w:ascii="宋体" w:hAnsi="宋体" w:cs="仿宋_GB2312"/>
                <w:sz w:val="21"/>
                <w:szCs w:val="21"/>
                <w:lang w:bidi="ar"/>
              </w:rPr>
              <w:t xml:space="preserve">）</w:t>
            </w:r>
            <w:r>
              <w:rPr>
                <w:rFonts w:hint="eastAsia" w:ascii="宋体" w:hAnsi="宋体"/>
                <w:sz w:val="21"/>
                <w:szCs w:val="21"/>
                <w:lang w:bidi="ar"/>
              </w:rPr>
              <w:t xml:space="preserve">99.95%</w:t>
            </w:r>
            <w:r>
              <w:rPr>
                <w:rFonts w:hint="eastAsia" w:ascii="宋体" w:hAnsi="宋体" w:cs="仿宋_GB2312"/>
                <w:sz w:val="21"/>
                <w:szCs w:val="21"/>
                <w:lang w:bidi="ar"/>
              </w:rPr>
              <w:t xml:space="preserve">≤服务可用率</w:t>
            </w:r>
            <w:r>
              <w:rPr>
                <w:rFonts w:hint="eastAsia" w:ascii="宋体" w:hAnsi="宋体"/>
                <w:sz w:val="21"/>
                <w:szCs w:val="21"/>
                <w:lang w:bidi="ar"/>
              </w:rPr>
              <w:t xml:space="preserve">&lt;99.99%</w:t>
            </w:r>
            <w:r>
              <w:rPr>
                <w:rFonts w:hint="eastAsia" w:ascii="宋体" w:hAnsi="宋体" w:cs="仿宋_GB2312"/>
                <w:sz w:val="21"/>
                <w:szCs w:val="21"/>
                <w:lang w:bidi="ar"/>
              </w:rPr>
              <w:t xml:space="preserve">，扣</w:t>
            </w:r>
            <w:r>
              <w:rPr>
                <w:rFonts w:hint="eastAsia" w:ascii="宋体" w:hAnsi="宋体"/>
                <w:sz w:val="21"/>
                <w:szCs w:val="21"/>
                <w:lang w:bidi="ar"/>
              </w:rPr>
              <w:t xml:space="preserve">1</w:t>
            </w:r>
            <w:r>
              <w:rPr>
                <w:rFonts w:hint="eastAsia" w:ascii="宋体" w:hAnsi="宋体" w:cs="仿宋_GB2312"/>
                <w:sz w:val="21"/>
                <w:szCs w:val="21"/>
                <w:lang w:bidi="ar"/>
              </w:rPr>
              <w:t xml:space="preserve">分，按云产品累加；</w:t>
            </w:r>
            <w:r>
              <w:rPr>
                <w:rFonts w:hint="eastAsia" w:ascii="宋体" w:hAnsi="宋体" w:cs="仿宋_GB2312"/>
                <w:sz w:val="21"/>
                <w:szCs w:val="21"/>
                <w:lang w:bidi="ar"/>
              </w:rPr>
              <w:br/>
            </w:r>
            <w:r>
              <w:rPr>
                <w:rFonts w:hint="eastAsia" w:ascii="宋体" w:hAnsi="宋体" w:cs="仿宋_GB2312"/>
                <w:sz w:val="21"/>
                <w:szCs w:val="21"/>
                <w:lang w:bidi="ar"/>
              </w:rPr>
              <w:t xml:space="preserve">（</w:t>
            </w:r>
            <w:r>
              <w:rPr>
                <w:rFonts w:hint="eastAsia" w:ascii="宋体" w:hAnsi="宋体"/>
                <w:sz w:val="21"/>
                <w:szCs w:val="21"/>
                <w:lang w:bidi="ar"/>
              </w:rPr>
              <w:t xml:space="preserve">2</w:t>
            </w:r>
            <w:r>
              <w:rPr>
                <w:rFonts w:hint="eastAsia" w:ascii="宋体" w:hAnsi="宋体" w:cs="仿宋_GB2312"/>
                <w:sz w:val="21"/>
                <w:szCs w:val="21"/>
                <w:lang w:bidi="ar"/>
              </w:rPr>
              <w:t xml:space="preserve">）</w:t>
            </w:r>
            <w:r>
              <w:rPr>
                <w:rFonts w:hint="eastAsia" w:ascii="宋体" w:hAnsi="宋体"/>
                <w:sz w:val="21"/>
                <w:szCs w:val="21"/>
                <w:lang w:bidi="ar"/>
              </w:rPr>
              <w:t xml:space="preserve">99.9%</w:t>
            </w:r>
            <w:r>
              <w:rPr>
                <w:rFonts w:hint="eastAsia" w:ascii="宋体" w:hAnsi="宋体" w:cs="仿宋_GB2312"/>
                <w:sz w:val="21"/>
                <w:szCs w:val="21"/>
                <w:lang w:bidi="ar"/>
              </w:rPr>
              <w:t xml:space="preserve">≤服务可用率</w:t>
            </w:r>
            <w:r>
              <w:rPr>
                <w:rFonts w:hint="eastAsia" w:ascii="宋体" w:hAnsi="宋体"/>
                <w:sz w:val="21"/>
                <w:szCs w:val="21"/>
                <w:lang w:bidi="ar"/>
              </w:rPr>
              <w:t xml:space="preserve">&lt;99.95%</w:t>
            </w:r>
            <w:r>
              <w:rPr>
                <w:rFonts w:hint="eastAsia" w:ascii="宋体" w:hAnsi="宋体" w:cs="仿宋_GB2312"/>
                <w:sz w:val="21"/>
                <w:szCs w:val="21"/>
                <w:lang w:bidi="ar"/>
              </w:rPr>
              <w:t xml:space="preserve">，扣</w:t>
            </w:r>
            <w:r>
              <w:rPr>
                <w:rFonts w:hint="eastAsia" w:ascii="宋体" w:hAnsi="宋体"/>
                <w:sz w:val="21"/>
                <w:szCs w:val="21"/>
                <w:lang w:bidi="ar"/>
              </w:rPr>
              <w:t xml:space="preserve">2</w:t>
            </w:r>
            <w:r>
              <w:rPr>
                <w:rFonts w:hint="eastAsia" w:ascii="宋体" w:hAnsi="宋体" w:cs="仿宋_GB2312"/>
                <w:sz w:val="21"/>
                <w:szCs w:val="21"/>
                <w:lang w:bidi="ar"/>
              </w:rPr>
              <w:t xml:space="preserve">分，按云产品累加；</w:t>
            </w:r>
            <w:r>
              <w:rPr>
                <w:rFonts w:hint="eastAsia" w:ascii="宋体" w:hAnsi="宋体" w:cs="仿宋_GB2312"/>
                <w:sz w:val="21"/>
                <w:szCs w:val="21"/>
                <w:lang w:bidi="ar"/>
              </w:rPr>
              <w:br/>
            </w:r>
            <w:r>
              <w:rPr>
                <w:rFonts w:hint="eastAsia" w:ascii="宋体" w:hAnsi="宋体" w:cs="仿宋_GB2312"/>
                <w:sz w:val="21"/>
                <w:szCs w:val="21"/>
                <w:lang w:bidi="ar"/>
              </w:rPr>
              <w:t xml:space="preserve">（</w:t>
            </w:r>
            <w:r>
              <w:rPr>
                <w:rFonts w:hint="eastAsia" w:ascii="宋体" w:hAnsi="宋体"/>
                <w:sz w:val="21"/>
                <w:szCs w:val="21"/>
                <w:lang w:bidi="ar"/>
              </w:rPr>
              <w:t xml:space="preserve">3</w:t>
            </w:r>
            <w:r>
              <w:rPr>
                <w:rFonts w:hint="eastAsia" w:ascii="宋体" w:hAnsi="宋体" w:cs="仿宋_GB2312"/>
                <w:sz w:val="21"/>
                <w:szCs w:val="21"/>
                <w:lang w:bidi="ar"/>
              </w:rPr>
              <w:t xml:space="preserve">）服务可用率</w:t>
            </w:r>
            <w:r>
              <w:rPr>
                <w:rFonts w:hint="eastAsia" w:ascii="宋体" w:hAnsi="宋体"/>
                <w:sz w:val="21"/>
                <w:szCs w:val="21"/>
                <w:lang w:bidi="ar"/>
              </w:rPr>
              <w:t xml:space="preserve">&lt;99.9%</w:t>
            </w:r>
            <w:r>
              <w:rPr>
                <w:rFonts w:hint="eastAsia" w:ascii="宋体" w:hAnsi="宋体" w:cs="仿宋_GB2312"/>
                <w:sz w:val="21"/>
                <w:szCs w:val="21"/>
                <w:lang w:bidi="ar"/>
              </w:rPr>
              <w:t xml:space="preserve">，扣</w:t>
            </w:r>
            <w:r>
              <w:rPr>
                <w:rFonts w:hint="eastAsia" w:ascii="宋体" w:hAnsi="宋体"/>
                <w:sz w:val="21"/>
                <w:szCs w:val="21"/>
                <w:lang w:bidi="ar"/>
              </w:rPr>
              <w:t xml:space="preserve">3</w:t>
            </w:r>
            <w:r>
              <w:rPr>
                <w:rFonts w:hint="eastAsia" w:ascii="宋体" w:hAnsi="宋体" w:cs="仿宋_GB2312"/>
                <w:sz w:val="21"/>
                <w:szCs w:val="21"/>
                <w:lang w:bidi="ar"/>
              </w:rPr>
              <w:t xml:space="preserve">分，按云产品累加</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ind w:left="0" w:firstLine="420"/>
              <w:jc w:val="left"/>
              <w:spacing w:line="360" w:lineRule="auto"/>
              <w:widowControl w:val="off"/>
              <w:rPr>
                <w:rFonts w:ascii="宋体" w:hAnsi="宋体"/>
                <w:sz w:val="21"/>
                <w:szCs w:val="21"/>
              </w:rPr>
            </w:pPr>
            <w:r>
              <w:rPr>
                <w:rFonts w:ascii="宋体" w:hAnsi="宋体"/>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23" w:type="pct"/>
            <w:vAlign w:val="center"/>
            <w:vMerge w:val="restart"/>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云平台整体服务中断</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因机房或云平台等故障造成云平台整体服务中断。</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每次中断发生扣</w:t>
            </w:r>
            <w:r>
              <w:rPr>
                <w:rFonts w:hint="eastAsia" w:ascii="宋体" w:hAnsi="宋体"/>
                <w:sz w:val="21"/>
                <w:szCs w:val="21"/>
                <w:lang w:bidi="ar"/>
              </w:rPr>
              <w:t xml:space="preserve">10</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vMerge w:val="restart"/>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23"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因机房或云平台等故障造成超过3个（含）业务系统主要功能访问中断。</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每次中断发生扣</w:t>
            </w:r>
            <w:r>
              <w:rPr>
                <w:rFonts w:hint="eastAsia" w:ascii="宋体" w:hAnsi="宋体"/>
                <w:sz w:val="21"/>
                <w:szCs w:val="21"/>
                <w:lang w:bidi="ar"/>
              </w:rPr>
              <w:t xml:space="preserve">10</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45" w:type="pct"/>
            <w:vAlign w:val="center"/>
            <w:vMerge w:val="restart"/>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服务安全性</w:t>
            </w:r>
            <w:r/>
          </w:p>
        </w:tc>
        <w:tc>
          <w:tcPr>
            <w:tcBorders>
              <w:top w:val="single" w:color="000000" w:sz="4" w:space="0"/>
              <w:left w:val="single" w:color="000000" w:sz="4" w:space="0"/>
              <w:bottom w:val="single" w:color="000000" w:sz="4" w:space="0"/>
              <w:right w:val="single" w:color="000000" w:sz="4" w:space="0"/>
            </w:tcBorders>
            <w:tcW w:w="823" w:type="pct"/>
            <w:vAlign w:val="center"/>
            <w:vMerge w:val="restart"/>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篡改事件</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因云平台自身安全措施问题导致云上业务系统被恶意篡改，事件造成严重影响的。</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每次扣</w:t>
            </w:r>
            <w:r>
              <w:rPr>
                <w:rFonts w:hint="eastAsia" w:ascii="宋体" w:hAnsi="宋体"/>
                <w:sz w:val="21"/>
                <w:szCs w:val="21"/>
                <w:lang w:bidi="ar"/>
              </w:rPr>
              <w:t xml:space="preserve">5</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vMerge w:val="restart"/>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23" w:type="pct"/>
            <w:vAlign w:val="center"/>
            <w:vMerge w:val="continue"/>
            <w:textDirection w:val="lrTb"/>
            <w:noWrap w:val="false"/>
          </w:tcPr>
          <w:p>
            <w:pPr>
              <w:ind w:left="0" w:firstLine="420"/>
              <w:jc w:val="center"/>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因云平台自身安全措施问题导致云上业务系统被恶意篡改。</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每次事件发生扣</w:t>
            </w:r>
            <w:r>
              <w:rPr>
                <w:rFonts w:hint="eastAsia" w:ascii="宋体" w:hAnsi="宋体"/>
                <w:sz w:val="21"/>
                <w:szCs w:val="21"/>
                <w:lang w:bidi="ar"/>
              </w:rPr>
              <w:t xml:space="preserve">5</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数据泄露</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因云平台自身安全措施问题导致云上业务系统个人敏感信息或公共数据泄露。</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每个系统扣</w:t>
            </w:r>
            <w:r>
              <w:rPr>
                <w:rFonts w:hint="eastAsia" w:ascii="宋体" w:hAnsi="宋体"/>
                <w:sz w:val="21"/>
                <w:szCs w:val="21"/>
                <w:lang w:bidi="ar"/>
              </w:rPr>
              <w:t xml:space="preserve">5</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数据丢失</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因云平台自身安全措施问题造成云上业务系统丢失数据且数据无法恢复。</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每个系统扣</w:t>
            </w:r>
            <w:r>
              <w:rPr>
                <w:rFonts w:hint="eastAsia" w:ascii="宋体" w:hAnsi="宋体"/>
                <w:sz w:val="21"/>
                <w:szCs w:val="21"/>
                <w:lang w:bidi="ar"/>
              </w:rPr>
              <w:t xml:space="preserve">5</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vMerge w:val="restart"/>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745"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val="false"/>
          </w:tcPr>
          <w:p>
            <w:pPr>
              <w:ind w:left="0"/>
              <w:jc w:val="center"/>
              <w:rPr>
                <w:rFonts w:ascii="宋体" w:hAnsi="宋体" w:cs="仿宋_GB2312"/>
                <w:sz w:val="21"/>
                <w:szCs w:val="21"/>
              </w:rPr>
            </w:pPr>
            <w:r>
              <w:rPr>
                <w:rFonts w:hint="eastAsia" w:ascii="宋体" w:hAnsi="宋体" w:cs="仿宋_GB2312"/>
                <w:sz w:val="21"/>
                <w:szCs w:val="21"/>
                <w:lang w:bidi="ar"/>
              </w:rPr>
              <w:t xml:space="preserve">安全通报</w:t>
            </w:r>
            <w:r/>
          </w:p>
        </w:tc>
        <w:tc>
          <w:tcPr>
            <w:tcBorders>
              <w:top w:val="single" w:color="000000" w:sz="4" w:space="0"/>
              <w:left w:val="single" w:color="000000" w:sz="4" w:space="0"/>
              <w:bottom w:val="single" w:color="000000" w:sz="4" w:space="0"/>
              <w:right w:val="single" w:color="000000" w:sz="4" w:space="0"/>
            </w:tcBorders>
            <w:tcW w:w="1902"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因云平台自身原因，导致被网络数据安全主管部门通报云平台发生网络安全事件。</w:t>
            </w:r>
            <w:r/>
          </w:p>
        </w:tc>
        <w:tc>
          <w:tcPr>
            <w:tcBorders>
              <w:top w:val="single" w:color="000000" w:sz="4" w:space="0"/>
              <w:left w:val="single" w:color="000000" w:sz="4" w:space="0"/>
              <w:bottom w:val="single" w:color="000000" w:sz="4" w:space="0"/>
              <w:right w:val="single" w:color="000000" w:sz="4" w:space="0"/>
            </w:tcBorders>
            <w:tcW w:w="1247"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每通报</w:t>
            </w:r>
            <w:r>
              <w:rPr>
                <w:rFonts w:hint="eastAsia" w:ascii="宋体" w:hAnsi="宋体"/>
                <w:sz w:val="21"/>
                <w:szCs w:val="21"/>
                <w:lang w:bidi="ar"/>
              </w:rPr>
              <w:t xml:space="preserve">1</w:t>
            </w:r>
            <w:r>
              <w:rPr>
                <w:rFonts w:hint="eastAsia" w:ascii="宋体" w:hAnsi="宋体" w:cs="仿宋_GB2312"/>
                <w:sz w:val="21"/>
                <w:szCs w:val="21"/>
                <w:lang w:bidi="ar"/>
              </w:rPr>
              <w:t xml:space="preserve">个事件扣</w:t>
            </w:r>
            <w:r>
              <w:rPr>
                <w:rFonts w:hint="eastAsia" w:ascii="宋体" w:hAnsi="宋体"/>
                <w:sz w:val="21"/>
                <w:szCs w:val="21"/>
                <w:lang w:bidi="ar"/>
              </w:rPr>
              <w:t xml:space="preserve">5</w:t>
            </w:r>
            <w:r>
              <w:rPr>
                <w:rFonts w:hint="eastAsia" w:ascii="宋体" w:hAnsi="宋体" w:cs="仿宋_GB2312"/>
                <w:sz w:val="21"/>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281" w:type="pct"/>
            <w:vAlign w:val="center"/>
            <w:vMerge w:val="continue"/>
            <w:textDirection w:val="lrTb"/>
            <w:noWrap w:val="false"/>
          </w:tcPr>
          <w:p>
            <w:pPr>
              <w:ind w:left="0" w:firstLine="420"/>
              <w:jc w:val="left"/>
              <w:spacing w:line="360" w:lineRule="auto"/>
              <w:widowControl w:val="off"/>
              <w:rPr>
                <w:rFonts w:ascii="宋体" w:hAnsi="宋体" w:cs="仿宋_GB2312"/>
                <w:sz w:val="21"/>
                <w:szCs w:val="21"/>
              </w:rPr>
            </w:pPr>
            <w:r>
              <w:rPr>
                <w:rFonts w:ascii="宋体" w:hAnsi="宋体" w:cs="仿宋_GB2312"/>
                <w:sz w:val="21"/>
                <w:szCs w:val="21"/>
              </w:rPr>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服务质量季度得分（满分</w:t>
            </w:r>
            <w:r>
              <w:rPr>
                <w:rFonts w:hint="eastAsia" w:ascii="宋体" w:hAnsi="宋体"/>
                <w:sz w:val="21"/>
                <w:szCs w:val="21"/>
                <w:lang w:bidi="ar"/>
              </w:rPr>
              <w:t xml:space="preserve">100</w:t>
            </w:r>
            <w:r>
              <w:rPr>
                <w:rFonts w:hint="eastAsia" w:ascii="宋体" w:hAnsi="宋体" w:cs="仿宋_GB2312"/>
                <w:sz w:val="21"/>
                <w:szCs w:val="21"/>
                <w:lang w:bidi="ar"/>
              </w:rPr>
              <w:t xml:space="preserve">分）：</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中标方服务质量季度考核情况（达标/不达标）：</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采购人意见：</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left"/>
              <w:rPr>
                <w:rFonts w:ascii="宋体" w:hAnsi="宋体" w:cs="仿宋_GB2312"/>
                <w:sz w:val="21"/>
                <w:szCs w:val="21"/>
              </w:rPr>
            </w:pPr>
            <w:r>
              <w:rPr>
                <w:rFonts w:hint="eastAsia" w:ascii="宋体" w:hAnsi="宋体" w:cs="仿宋_GB2312"/>
                <w:sz w:val="21"/>
                <w:szCs w:val="21"/>
                <w:lang w:bidi="ar"/>
              </w:rPr>
              <w:t xml:space="preserve">盖章：</w:t>
            </w:r>
            <w:r/>
          </w:p>
        </w:tc>
      </w:tr>
      <w:tr>
        <w:trPr>
          <w:trHeight w:val="28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jc w:val="right"/>
              <w:rPr>
                <w:rFonts w:ascii="宋体" w:hAnsi="宋体" w:cs="仿宋_GB2312"/>
                <w:sz w:val="21"/>
                <w:szCs w:val="21"/>
              </w:rPr>
            </w:pPr>
            <w:r>
              <w:rPr>
                <w:rFonts w:hint="eastAsia" w:ascii="宋体" w:hAnsi="宋体" w:cs="仿宋_GB2312"/>
                <w:sz w:val="21"/>
                <w:szCs w:val="21"/>
                <w:lang w:bidi="ar"/>
              </w:rPr>
              <w:t xml:space="preserve">年 </w:t>
            </w:r>
            <w:r>
              <w:rPr>
                <w:rFonts w:hint="eastAsia" w:ascii="宋体" w:hAnsi="宋体"/>
                <w:sz w:val="21"/>
                <w:szCs w:val="21"/>
                <w:lang w:bidi="ar"/>
              </w:rPr>
              <w:t xml:space="preserve">   </w:t>
            </w:r>
            <w:r>
              <w:rPr>
                <w:rFonts w:hint="eastAsia" w:ascii="宋体" w:hAnsi="宋体" w:cs="仿宋_GB2312"/>
                <w:sz w:val="21"/>
                <w:szCs w:val="21"/>
                <w:lang w:bidi="ar"/>
              </w:rPr>
              <w:t xml:space="preserve">月 </w:t>
            </w:r>
            <w:r>
              <w:rPr>
                <w:rFonts w:hint="eastAsia" w:ascii="宋体" w:hAnsi="宋体"/>
                <w:sz w:val="21"/>
                <w:szCs w:val="21"/>
                <w:lang w:bidi="ar"/>
              </w:rPr>
              <w:t xml:space="preserve">   </w:t>
            </w:r>
            <w:r>
              <w:rPr>
                <w:rFonts w:hint="eastAsia" w:ascii="宋体" w:hAnsi="宋体" w:cs="仿宋_GB2312"/>
                <w:sz w:val="21"/>
                <w:szCs w:val="21"/>
                <w:lang w:bidi="ar"/>
              </w:rPr>
              <w:t xml:space="preserve">日</w:t>
            </w:r>
            <w:r/>
          </w:p>
        </w:tc>
      </w:tr>
    </w:tbl>
    <w:p>
      <w:pPr>
        <w:ind w:firstLine="420"/>
        <w:jc w:val="center"/>
        <w:spacing w:line="360" w:lineRule="auto"/>
        <w:widowControl w:val="off"/>
        <w:rPr>
          <w:rFonts w:ascii="宋体" w:hAnsi="宋体" w:cs="Times New Roman"/>
          <w:sz w:val="21"/>
          <w:szCs w:val="21"/>
        </w:rPr>
      </w:pPr>
      <w:r>
        <w:rPr>
          <w:rFonts w:ascii="宋体" w:hAnsi="宋体" w:cs="Times New Roman"/>
          <w:sz w:val="21"/>
          <w:szCs w:val="21"/>
        </w:rPr>
      </w:r>
      <w:r/>
    </w:p>
    <w:p>
      <w:pPr>
        <w:ind w:left="0" w:firstLine="422"/>
        <w:spacing w:line="360" w:lineRule="auto"/>
        <w:tabs>
          <w:tab w:val="left" w:pos="0" w:leader="none"/>
        </w:tabs>
        <w:rPr>
          <w:rFonts w:ascii="宋体" w:hAnsi="宋体"/>
          <w:b/>
          <w:bCs/>
          <w:sz w:val="21"/>
          <w:szCs w:val="21"/>
        </w:rPr>
      </w:pPr>
      <w:r>
        <w:rPr>
          <w:rFonts w:ascii="宋体" w:hAnsi="宋体"/>
          <w:b/>
          <w:bCs/>
          <w:sz w:val="21"/>
          <w:szCs w:val="21"/>
        </w:rPr>
        <w:t xml:space="preserve">1.3.</w:t>
      </w:r>
      <w:r>
        <w:rPr>
          <w:rFonts w:hint="eastAsia" w:ascii="宋体" w:hAnsi="宋体"/>
          <w:b/>
          <w:bCs/>
          <w:sz w:val="21"/>
          <w:szCs w:val="21"/>
        </w:rPr>
        <w:t xml:space="preserve">5</w:t>
      </w:r>
      <w:r>
        <w:rPr>
          <w:rFonts w:ascii="宋体" w:hAnsi="宋体"/>
          <w:b/>
          <w:bCs/>
          <w:sz w:val="21"/>
          <w:szCs w:val="21"/>
        </w:rPr>
        <w:t xml:space="preserve">.</w:t>
      </w:r>
      <w:r>
        <w:rPr>
          <w:rFonts w:hint="eastAsia" w:ascii="宋体" w:hAnsi="宋体"/>
          <w:b/>
          <w:bCs/>
          <w:sz w:val="21"/>
          <w:szCs w:val="21"/>
        </w:rPr>
        <w:t xml:space="preserve">第三方审计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采购人根据实际情况适时引入第三方单位独立</w:t>
      </w:r>
      <w:r>
        <w:rPr>
          <w:rFonts w:ascii="宋体" w:hAnsi="宋体" w:cs="Times New Roman"/>
          <w:sz w:val="21"/>
          <w:szCs w:val="21"/>
        </w:rPr>
        <w:t xml:space="preserve">开展</w:t>
      </w:r>
      <w:r>
        <w:rPr>
          <w:rFonts w:hint="eastAsia" w:ascii="宋体" w:hAnsi="宋体" w:cs="Times New Roman"/>
          <w:sz w:val="21"/>
          <w:szCs w:val="21"/>
        </w:rPr>
        <w:t xml:space="preserve">云服务计量、</w:t>
      </w:r>
      <w:r>
        <w:rPr>
          <w:rFonts w:ascii="宋体" w:hAnsi="宋体" w:cs="Times New Roman"/>
          <w:sz w:val="21"/>
          <w:szCs w:val="21"/>
        </w:rPr>
        <w:t xml:space="preserve">服务考核数据采集</w:t>
      </w:r>
      <w:r>
        <w:rPr>
          <w:rFonts w:hint="eastAsia" w:ascii="宋体" w:hAnsi="宋体" w:cs="Times New Roman"/>
          <w:sz w:val="21"/>
          <w:szCs w:val="21"/>
        </w:rPr>
        <w:t xml:space="preserve">、</w:t>
      </w:r>
      <w:r>
        <w:rPr>
          <w:rFonts w:ascii="宋体" w:hAnsi="宋体" w:cs="Times New Roman"/>
          <w:sz w:val="21"/>
          <w:szCs w:val="21"/>
        </w:rPr>
        <w:t xml:space="preserve">云服务费用结算等</w:t>
      </w:r>
      <w:r>
        <w:rPr>
          <w:rFonts w:hint="eastAsia" w:ascii="宋体" w:hAnsi="宋体" w:cs="Times New Roman"/>
          <w:sz w:val="21"/>
          <w:szCs w:val="21"/>
        </w:rPr>
        <w:t xml:space="preserve">相关</w:t>
      </w:r>
      <w:r>
        <w:rPr>
          <w:rFonts w:ascii="宋体" w:hAnsi="宋体" w:cs="Times New Roman"/>
          <w:sz w:val="21"/>
          <w:szCs w:val="21"/>
        </w:rPr>
        <w:t xml:space="preserve">工作</w:t>
      </w:r>
      <w:r>
        <w:rPr>
          <w:rFonts w:hint="eastAsia" w:ascii="宋体" w:hAnsi="宋体" w:cs="Times New Roman"/>
          <w:sz w:val="21"/>
          <w:szCs w:val="21"/>
        </w:rPr>
        <w:t xml:space="preserve">，云服务商须接受采购人或其指定的第三方机构的审计监督。</w:t>
      </w:r>
      <w:r/>
    </w:p>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8"/>
        <w:ind w:firstLine="200"/>
        <w:spacing w:line="360" w:lineRule="auto"/>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1.中小微企业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根据《政府采购促进中小企业发展管理办法》（财库〔2020〕4</w:t>
      </w:r>
      <w:r>
        <w:rPr>
          <w:rFonts w:hint="eastAsia" w:ascii="宋体" w:hAnsi="宋体" w:cs="Times New Roman"/>
          <w:b/>
          <w:sz w:val="21"/>
          <w:szCs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szCs w:val="21"/>
        </w:rPr>
      </w:pPr>
      <w:r>
        <w:rPr>
          <w:rFonts w:ascii="宋体" w:hAnsi="宋体"/>
          <w:sz w:val="21"/>
          <w:szCs w:val="21"/>
        </w:rPr>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凡涉及招标文件的补充说明和修改，均以网上发布的通知为准。</w:t>
      </w:r>
      <w:r/>
    </w:p>
    <w:p>
      <w:pPr>
        <w:pStyle w:val="1014"/>
        <w:ind w:left="0"/>
        <w:jc w:val="center"/>
        <w:keepLines w:val="0"/>
        <w:keepNext w:val="0"/>
        <w:spacing w:before="340" w:after="330" w:line="578" w:lineRule="auto"/>
        <w:rPr>
          <w:rFonts w:ascii="宋体" w:hAnsi="宋体" w:eastAsia="宋体" w:cs="宋体"/>
          <w:b/>
          <w:sz w:val="44"/>
          <w:szCs w:val="22"/>
        </w:rPr>
      </w:pPr>
      <w:r/>
      <w:bookmarkStart w:id="92" w:name="_Toc11789"/>
      <w:r/>
      <w:bookmarkStart w:id="93" w:name="_Toc5111"/>
      <w:r/>
      <w:bookmarkStart w:id="94" w:name="_Hlk55741158"/>
      <w:r>
        <w:rPr>
          <w:rFonts w:hint="eastAsia" w:ascii="宋体" w:hAnsi="宋体"/>
          <w:b/>
          <w:color w:val="auto"/>
          <w:sz w:val="44"/>
          <w:szCs w:val="22"/>
        </w:rPr>
        <w:br w:type="page" w:clear="all"/>
      </w:r>
      <w:bookmarkStart w:id="95" w:name="_Toc105397794"/>
      <w:r>
        <w:rPr>
          <w:rFonts w:hint="eastAsia" w:ascii="宋体" w:hAnsi="宋体" w:eastAsia="宋体" w:cs="宋体"/>
          <w:b/>
          <w:color w:val="auto"/>
          <w:sz w:val="44"/>
          <w:szCs w:val="22"/>
        </w:rPr>
        <w:t xml:space="preserve">第五章 </w:t>
      </w:r>
      <w:bookmarkStart w:id="96" w:name="合同的特殊条款"/>
      <w:r/>
      <w:bookmarkEnd w:id="96"/>
      <w:r>
        <w:rPr>
          <w:rFonts w:hint="eastAsia" w:ascii="宋体" w:hAnsi="宋体" w:eastAsia="宋体" w:cs="宋体"/>
          <w:b/>
          <w:color w:val="auto"/>
          <w:sz w:val="44"/>
          <w:szCs w:val="22"/>
        </w:rPr>
        <w:t xml:space="preserve"> 合同及主要条款</w:t>
      </w:r>
      <w:bookmarkEnd w:id="92"/>
      <w:r/>
      <w:bookmarkEnd w:id="93"/>
      <w:r/>
      <w:bookmarkEnd w:id="95"/>
      <w:r/>
      <w:bookmarkEnd w:id="94"/>
      <w:r/>
      <w:r/>
    </w:p>
    <w:p>
      <w:pPr>
        <w:ind w:left="0"/>
        <w:jc w:val="center"/>
        <w:rPr>
          <w:rFonts w:ascii="宋体" w:hAnsi="宋体"/>
          <w:b/>
          <w:sz w:val="32"/>
          <w:szCs w:val="32"/>
        </w:rPr>
      </w:pPr>
      <w:r/>
      <w:bookmarkStart w:id="97" w:name="_Toc57376410"/>
      <w:r/>
      <w:bookmarkStart w:id="98" w:name="_Toc8564"/>
      <w:r/>
      <w:bookmarkStart w:id="99" w:name="_Toc2766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项目名称：苏州市政务“一朵云”服务采购</w:t>
      </w:r>
      <w:r/>
    </w:p>
    <w:p>
      <w:pPr>
        <w:ind w:left="0"/>
        <w:jc w:val="left"/>
        <w:spacing w:line="360" w:lineRule="auto"/>
        <w:rPr>
          <w:rFonts w:ascii="宋体" w:hAnsi="宋体"/>
          <w:b/>
          <w:sz w:val="21"/>
        </w:rPr>
      </w:pPr>
      <w:r>
        <w:rPr>
          <w:rFonts w:hint="eastAsia" w:ascii="宋体" w:hAnsi="宋体"/>
          <w:b/>
          <w:sz w:val="21"/>
        </w:rPr>
        <w:t xml:space="preserve">项目编号：JSZC-320500-JZCG-G2025-0645</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甲方是指合同中明确规定的实际购买和接受服务的单位。实际使用方是指实际购买货物和服务的使用单位，包含市局本级、各市(区)局、分局等。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本项目服务费用按照先使用后付费原则支付。自合同签订生效之日起算，结算周期为【每3个月】。每个结算周期届满后____个工作日内，甲乙双方根据本周期内3份《月度云服务费用账单》的服务费用总和结合对应周期的服务质量考核情况进行费用结算。每笔款项支付前，乙方应提供相应金额的国家正规增值税普通发票或专用发票，甲方应在收到发票后____个工作日内向云服务商进行支付。</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0"/>
        <w:spacing w:line="360" w:lineRule="auto"/>
        <w:widowControl w:val="off"/>
        <w:rPr>
          <w:rFonts w:ascii="宋体" w:hAnsi="宋体"/>
          <w:sz w:val="21"/>
          <w:szCs w:val="21"/>
        </w:rPr>
      </w:pPr>
      <w:r>
        <w:rPr>
          <w:rFonts w:hint="eastAsia" w:ascii="宋体" w:hAnsi="宋体"/>
          <w:sz w:val="21"/>
          <w:szCs w:val="21"/>
        </w:rPr>
        <w:t xml:space="preserve">或数字人民币账户（数币钱包ID）：</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2.如果调解不成，双方中的任何一方可向人民法院提起诉讼。诉讼由甲方所在地人民法院管辖。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71"/>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7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71"/>
        <w:ind w:left="400" w:firstLine="883"/>
        <w:rPr>
          <w:rFonts w:ascii="宋体" w:hAnsi="宋体"/>
          <w:b/>
          <w:sz w:val="44"/>
          <w:szCs w:val="22"/>
        </w:rPr>
      </w:pPr>
      <w:r/>
      <w:bookmarkStart w:id="100" w:name="_Toc105397795"/>
      <w:r>
        <w:rPr>
          <w:rFonts w:hint="eastAsia" w:ascii="宋体" w:hAnsi="宋体"/>
          <w:b/>
          <w:sz w:val="44"/>
          <w:szCs w:val="22"/>
        </w:rPr>
        <w:t xml:space="preserve"> </w:t>
      </w:r>
      <w:r/>
    </w:p>
    <w:p>
      <w:pPr>
        <w:pStyle w:val="1071"/>
        <w:ind w:left="400" w:firstLine="883"/>
        <w:rPr>
          <w:rFonts w:ascii="宋体" w:hAnsi="宋体"/>
          <w:b/>
          <w:sz w:val="44"/>
          <w:szCs w:val="22"/>
        </w:rPr>
      </w:pPr>
      <w:r>
        <w:rPr>
          <w:rFonts w:hint="eastAsia" w:ascii="宋体" w:hAnsi="宋体"/>
          <w:b/>
          <w:sz w:val="44"/>
          <w:szCs w:val="22"/>
        </w:rPr>
        <w:br w:type="page" w:clear="all"/>
      </w:r>
      <w:r/>
    </w:p>
    <w:p>
      <w:pPr>
        <w:pStyle w:val="1014"/>
        <w:ind w:left="0"/>
        <w:jc w:val="center"/>
        <w:keepLines w:val="0"/>
        <w:keepNext w:val="0"/>
        <w:spacing w:before="340" w:after="330" w:line="578" w:lineRule="auto"/>
        <w:rPr>
          <w:rFonts w:ascii="宋体" w:hAnsi="宋体" w:eastAsia="宋体" w:cs="宋体"/>
          <w:b/>
          <w:color w:val="auto"/>
          <w:sz w:val="44"/>
          <w:szCs w:val="22"/>
        </w:rPr>
      </w:pPr>
      <w:r>
        <w:rPr>
          <w:rFonts w:hint="eastAsia" w:ascii="宋体" w:hAnsi="宋体" w:eastAsia="宋体" w:cs="宋体"/>
          <w:b/>
          <w:color w:val="auto"/>
          <w:sz w:val="44"/>
          <w:szCs w:val="22"/>
        </w:rPr>
        <w:t xml:space="preserve">第六章  </w:t>
      </w:r>
      <w:bookmarkStart w:id="101" w:name="评分要点"/>
      <w:r/>
      <w:bookmarkEnd w:id="101"/>
      <w:r>
        <w:rPr>
          <w:rFonts w:hint="eastAsia" w:ascii="宋体" w:hAnsi="宋体" w:eastAsia="宋体" w:cs="宋体"/>
          <w:b/>
          <w:color w:val="auto"/>
          <w:sz w:val="44"/>
          <w:szCs w:val="22"/>
        </w:rPr>
        <w:t xml:space="preserve">评标办法和评分标准</w:t>
      </w:r>
      <w:bookmarkEnd w:id="97"/>
      <w:r/>
      <w:bookmarkEnd w:id="98"/>
      <w:r/>
      <w:bookmarkEnd w:id="99"/>
      <w:r/>
      <w:bookmarkEnd w:id="100"/>
      <w:r/>
      <w:r/>
    </w:p>
    <w:p>
      <w:pPr>
        <w:ind w:left="0" w:firstLine="422"/>
        <w:spacing w:line="360" w:lineRule="auto"/>
        <w:rPr>
          <w:rFonts w:ascii="宋体" w:hAnsi="宋体"/>
          <w:b/>
          <w:sz w:val="21"/>
          <w:szCs w:val="21"/>
        </w:rPr>
      </w:pPr>
      <w:r/>
      <w:bookmarkStart w:id="102" w:name="_Toc17476"/>
      <w:r/>
      <w:bookmarkStart w:id="103" w:name="_Toc16264"/>
      <w:r/>
      <w:bookmarkStart w:id="104" w:name="_Toc698"/>
      <w:r>
        <w:rPr>
          <w:rFonts w:hint="eastAsia" w:ascii="宋体" w:hAnsi="宋体"/>
          <w:b/>
          <w:sz w:val="21"/>
          <w:szCs w:val="21"/>
        </w:rPr>
        <w:t xml:space="preserve">一、评标办法：</w:t>
      </w:r>
      <w:bookmarkEnd w:id="102"/>
      <w:r/>
      <w:bookmarkEnd w:id="103"/>
      <w:r/>
      <w:bookmarkEnd w:id="104"/>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25"/>
      </w:pPr>
      <w:r/>
      <w:r/>
    </w:p>
    <w:p>
      <w:r/>
      <w:r/>
    </w:p>
    <w:p>
      <w:pPr>
        <w:pStyle w:val="1025"/>
      </w:pPr>
      <w:r/>
      <w:r/>
    </w:p>
    <w:p>
      <w:pPr>
        <w:pStyle w:val="103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10</w:t>
      </w:r>
      <w:r>
        <w:rPr>
          <w:rFonts w:hint="eastAsia" w:ascii="宋体" w:hAnsi="宋体"/>
          <w:b/>
          <w:bCs/>
          <w:sz w:val="21"/>
        </w:rPr>
        <w:t xml:space="preserve">分</w:t>
      </w:r>
      <w:r/>
    </w:p>
    <w:p>
      <w:pPr>
        <w:ind w:left="0" w:firstLine="420"/>
        <w:spacing w:line="360" w:lineRule="auto"/>
        <w:rPr>
          <w:rFonts w:ascii="宋体" w:hAnsi="宋体"/>
          <w:sz w:val="21"/>
        </w:rPr>
      </w:pPr>
      <w:r>
        <w:rPr>
          <w:rFonts w:hint="eastAsia" w:ascii="宋体" w:hAnsi="宋体"/>
          <w:sz w:val="21"/>
        </w:rPr>
        <w:t xml:space="preserve">1.本次报价报的是优惠率，不报总价，优惠率是指预算单价的优惠比例，每类配件、工时需报相同的优惠率，本项目最高优惠率为99%，所报优惠率不能高于99%，投标优惠率≥0，步长为1%。（优惠率释义：例如单价（限价）为100元，投标人如以98元的价格提供服务，则优惠率为2％；步长为1%释义：例如所投优惠率为1%、2%、3%……19%、20%等整数的优惠率，不能为1.1%、2.54%等带小数的优惠率）；</w:t>
      </w:r>
      <w:r/>
    </w:p>
    <w:p>
      <w:pPr>
        <w:ind w:left="0" w:firstLine="420"/>
        <w:spacing w:line="360" w:lineRule="auto"/>
        <w:rPr>
          <w:rFonts w:ascii="宋体" w:hAnsi="宋体"/>
          <w:sz w:val="21"/>
        </w:rPr>
      </w:pPr>
      <w:r>
        <w:rPr>
          <w:rFonts w:hint="eastAsia" w:ascii="宋体" w:hAnsi="宋体"/>
          <w:sz w:val="21"/>
        </w:rPr>
        <w:t xml:space="preserve">2.价格分采用低价优先法计算，根据各投标人通过符合性审查的有效投标优惠率中的最高优惠率作为最高优惠率评审价，其价格分为满分10分。例如各投标人的投标优惠率分别为40%、30%、20%、10%，以上数字中，40%为最高优惠率评审价，报价分为满分。</w:t>
      </w:r>
      <w:r/>
    </w:p>
    <w:p>
      <w:pPr>
        <w:ind w:left="0" w:firstLine="420"/>
        <w:spacing w:line="360" w:lineRule="auto"/>
        <w:rPr>
          <w:rFonts w:ascii="宋体" w:hAnsi="宋体"/>
          <w:sz w:val="21"/>
        </w:rPr>
      </w:pPr>
      <w:r/>
      <w:bookmarkStart w:id="105" w:name="OLE_LINK13"/>
      <w:r/>
      <w:bookmarkStart w:id="106" w:name="OLE_LINK11"/>
      <w:r>
        <w:rPr>
          <w:rFonts w:hint="eastAsia" w:ascii="宋体" w:hAnsi="宋体"/>
          <w:sz w:val="21"/>
        </w:rPr>
        <w:t xml:space="preserve">价格分计算公式：价格得分=（1-最高优惠率评审价）/（1-优惠率评审价）×10；（计算到小数点后二位，四舍五入）</w:t>
      </w:r>
      <w:bookmarkEnd w:id="105"/>
      <w:r/>
      <w:bookmarkEnd w:id="106"/>
      <w:r/>
      <w:r/>
    </w:p>
    <w:p>
      <w:pPr>
        <w:ind w:left="0" w:firstLine="422"/>
        <w:spacing w:line="360" w:lineRule="auto"/>
        <w:rPr>
          <w:rFonts w:ascii="宋体" w:hAnsi="宋体"/>
          <w:b/>
          <w:bCs/>
          <w:sz w:val="21"/>
        </w:rPr>
      </w:pPr>
      <w:r>
        <w:rPr>
          <w:rFonts w:ascii="宋体" w:hAnsi="宋体"/>
          <w:b/>
          <w:bCs/>
          <w:sz w:val="21"/>
        </w:rPr>
      </w:r>
      <w:r/>
    </w:p>
    <w:p>
      <w:pPr>
        <w:ind w:left="0" w:firstLine="422"/>
        <w:spacing w:line="360" w:lineRule="auto"/>
        <w:rPr>
          <w:rFonts w:ascii="宋体" w:hAnsi="宋体"/>
          <w:b/>
          <w:bCs/>
          <w:sz w:val="21"/>
        </w:rPr>
      </w:pPr>
      <w:r>
        <w:rPr>
          <w:rFonts w:hint="eastAsia" w:ascii="宋体" w:hAnsi="宋体"/>
          <w:b/>
          <w:bCs/>
          <w:sz w:val="21"/>
        </w:rPr>
        <w:t xml:space="preserve">（二）技术方案</w:t>
      </w:r>
      <w:r>
        <w:rPr>
          <w:rFonts w:hint="eastAsia" w:ascii="宋体" w:hAnsi="宋体"/>
          <w:b/>
          <w:bCs/>
          <w:sz w:val="21"/>
          <w:szCs w:val="22"/>
        </w:rPr>
        <w:t xml:space="preserve">（35分）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1.云服务总体规划方案（15分）：</w:t>
      </w:r>
      <w:r/>
    </w:p>
    <w:p>
      <w:pPr>
        <w:ind w:left="0" w:firstLine="420"/>
        <w:spacing w:line="360" w:lineRule="auto"/>
        <w:rPr>
          <w:rFonts w:ascii="宋体" w:hAnsi="宋体"/>
          <w:sz w:val="21"/>
        </w:rPr>
      </w:pPr>
      <w:r>
        <w:rPr>
          <w:rFonts w:hint="eastAsia" w:ascii="宋体" w:hAnsi="宋体"/>
          <w:sz w:val="21"/>
        </w:rPr>
        <w:t xml:space="preserve">投标人基于采购需求，对照江苏省政务“一朵云”建设总体方案要求，编制苏州市政务“一朵云”服务总体规划方案，方案内容包括但不限于：</w:t>
      </w:r>
      <w:r/>
    </w:p>
    <w:p>
      <w:pPr>
        <w:ind w:left="0" w:firstLine="425"/>
        <w:spacing w:line="360" w:lineRule="auto"/>
        <w:rPr>
          <w:rFonts w:ascii="宋体" w:hAnsi="宋体"/>
          <w:sz w:val="21"/>
        </w:rPr>
      </w:pPr>
      <w:r>
        <w:rPr>
          <w:rFonts w:ascii="宋体" w:hAnsi="宋体"/>
          <w:sz w:val="21"/>
        </w:rPr>
        <w:t xml:space="preserve">(1)</w:t>
      </w:r>
      <w:r>
        <w:rPr>
          <w:rFonts w:hint="eastAsia" w:ascii="宋体" w:hAnsi="宋体"/>
          <w:sz w:val="21"/>
        </w:rPr>
        <w:t xml:space="preserve">项目理解及需求分析；</w:t>
      </w:r>
      <w:r/>
    </w:p>
    <w:p>
      <w:pPr>
        <w:ind w:left="0" w:firstLine="425"/>
        <w:spacing w:line="360" w:lineRule="auto"/>
        <w:rPr>
          <w:rFonts w:ascii="宋体" w:hAnsi="宋体"/>
          <w:sz w:val="21"/>
        </w:rPr>
      </w:pPr>
      <w:r>
        <w:rPr>
          <w:rFonts w:ascii="宋体" w:hAnsi="宋体"/>
          <w:sz w:val="21"/>
        </w:rPr>
        <w:t xml:space="preserve">(2)</w:t>
      </w:r>
      <w:r>
        <w:rPr>
          <w:rFonts w:hint="eastAsia" w:ascii="宋体" w:hAnsi="宋体"/>
          <w:sz w:val="21"/>
        </w:rPr>
        <w:t xml:space="preserve">提供云服务的云平台总体架构；</w:t>
      </w:r>
      <w:r/>
    </w:p>
    <w:p>
      <w:pPr>
        <w:ind w:left="0" w:firstLine="425"/>
        <w:spacing w:line="360" w:lineRule="auto"/>
        <w:rPr>
          <w:rFonts w:ascii="宋体" w:hAnsi="宋体"/>
          <w:sz w:val="21"/>
        </w:rPr>
      </w:pPr>
      <w:r>
        <w:rPr>
          <w:rFonts w:ascii="宋体" w:hAnsi="宋体"/>
          <w:sz w:val="21"/>
        </w:rPr>
        <w:t xml:space="preserve">(3)</w:t>
      </w:r>
      <w:r>
        <w:rPr>
          <w:rFonts w:hint="eastAsia" w:ascii="宋体" w:hAnsi="宋体"/>
          <w:sz w:val="21"/>
        </w:rPr>
        <w:t xml:space="preserve">云平台与现有苏州市国产化政务云兼容对接方案；</w:t>
      </w:r>
      <w:r/>
    </w:p>
    <w:p>
      <w:pPr>
        <w:ind w:left="0" w:firstLine="425"/>
        <w:spacing w:line="360" w:lineRule="auto"/>
        <w:rPr>
          <w:rFonts w:ascii="宋体" w:hAnsi="宋体"/>
          <w:sz w:val="21"/>
        </w:rPr>
      </w:pPr>
      <w:r>
        <w:rPr>
          <w:rFonts w:ascii="宋体" w:hAnsi="宋体"/>
          <w:sz w:val="21"/>
        </w:rPr>
        <w:t xml:space="preserve">(4)</w:t>
      </w:r>
      <w:r>
        <w:rPr>
          <w:rFonts w:hint="eastAsia" w:ascii="宋体" w:hAnsi="宋体"/>
          <w:sz w:val="21"/>
        </w:rPr>
        <w:t xml:space="preserve">云服务资源建设规划与资源扩容保障规划；</w:t>
      </w:r>
      <w:r/>
    </w:p>
    <w:p>
      <w:pPr>
        <w:ind w:left="0" w:firstLine="425"/>
        <w:spacing w:line="360" w:lineRule="auto"/>
        <w:rPr>
          <w:rFonts w:ascii="宋体" w:hAnsi="宋体"/>
          <w:sz w:val="21"/>
        </w:rPr>
      </w:pPr>
      <w:r>
        <w:rPr>
          <w:rFonts w:ascii="宋体" w:hAnsi="宋体"/>
          <w:sz w:val="21"/>
        </w:rPr>
        <w:t xml:space="preserve">(5)</w:t>
      </w:r>
      <w:r>
        <w:rPr>
          <w:rFonts w:hint="eastAsia" w:ascii="宋体" w:hAnsi="宋体"/>
          <w:sz w:val="21"/>
        </w:rPr>
        <w:t xml:space="preserve">云服务商云管平台设计等方面。</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上述每项应逐条叙述，每项内容科学合理、内容完整、条理清晰、操作性强的得3分；内容基本完整，条理较为清晰的得1.5分；叙述内容完全脱离采购需求或未作完整叙述的不得分。本项最高得15分。</w:t>
      </w:r>
      <w:r/>
    </w:p>
    <w:p>
      <w:pPr>
        <w:ind w:left="400"/>
        <w:spacing w:line="360" w:lineRule="auto"/>
        <w:widowControl w:val="off"/>
        <w:rPr>
          <w:rFonts w:ascii="仿宋_GB2312" w:hAnsi="仿宋_GB2312" w:eastAsia="仿宋_GB2312" w:cs="仿宋_GB2312"/>
          <w:sz w:val="24"/>
          <w:szCs w:val="32"/>
        </w:rPr>
      </w:pPr>
      <w:r>
        <w:rPr>
          <w:rFonts w:ascii="仿宋_GB2312" w:hAnsi="仿宋_GB2312" w:eastAsia="仿宋_GB2312" w:cs="仿宋_GB2312"/>
          <w:sz w:val="24"/>
          <w:szCs w:val="3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2.云服务运营工作方案（6分）：</w:t>
      </w:r>
      <w:r/>
    </w:p>
    <w:p>
      <w:pPr>
        <w:ind w:left="0" w:firstLine="420"/>
        <w:spacing w:line="360" w:lineRule="auto"/>
        <w:rPr>
          <w:rFonts w:ascii="宋体" w:hAnsi="宋体"/>
          <w:sz w:val="21"/>
        </w:rPr>
      </w:pPr>
      <w:r>
        <w:rPr>
          <w:rFonts w:hint="eastAsia" w:ascii="宋体" w:hAnsi="宋体"/>
          <w:sz w:val="21"/>
        </w:rPr>
        <w:t xml:space="preserve">投标人在理解招标文件要求基础上，编制云服务运营工作方案，方案内容包括但不限于：</w:t>
      </w:r>
      <w:r/>
    </w:p>
    <w:p>
      <w:pPr>
        <w:ind w:left="0" w:firstLine="425"/>
        <w:spacing w:line="360" w:lineRule="auto"/>
        <w:rPr>
          <w:rFonts w:ascii="宋体" w:hAnsi="宋体"/>
          <w:sz w:val="21"/>
        </w:rPr>
      </w:pPr>
      <w:r>
        <w:rPr>
          <w:rFonts w:ascii="宋体" w:hAnsi="宋体"/>
          <w:sz w:val="21"/>
        </w:rPr>
        <w:t xml:space="preserve">(1)</w:t>
      </w:r>
      <w:r>
        <w:rPr>
          <w:rFonts w:hint="eastAsia" w:ascii="宋体" w:hAnsi="宋体"/>
          <w:sz w:val="21"/>
        </w:rPr>
        <w:t xml:space="preserve">云服务运营团队和组织管理体系；</w:t>
      </w:r>
      <w:r/>
    </w:p>
    <w:p>
      <w:pPr>
        <w:ind w:left="0" w:firstLine="425"/>
        <w:spacing w:line="360" w:lineRule="auto"/>
        <w:rPr>
          <w:rFonts w:ascii="宋体" w:hAnsi="宋体"/>
          <w:sz w:val="21"/>
        </w:rPr>
      </w:pPr>
      <w:r>
        <w:rPr>
          <w:rFonts w:ascii="宋体" w:hAnsi="宋体"/>
          <w:sz w:val="21"/>
        </w:rPr>
        <w:t xml:space="preserve">(2)</w:t>
      </w:r>
      <w:r>
        <w:rPr>
          <w:rFonts w:hint="eastAsia" w:ascii="宋体" w:hAnsi="宋体"/>
          <w:sz w:val="21"/>
        </w:rPr>
        <w:t xml:space="preserve">云服务运营服务台建设；</w:t>
      </w:r>
      <w:r/>
    </w:p>
    <w:p>
      <w:pPr>
        <w:ind w:left="0" w:firstLine="425"/>
        <w:spacing w:line="360" w:lineRule="auto"/>
        <w:rPr>
          <w:rFonts w:ascii="宋体" w:hAnsi="宋体"/>
          <w:sz w:val="21"/>
        </w:rPr>
      </w:pPr>
      <w:r>
        <w:rPr>
          <w:rFonts w:ascii="宋体" w:hAnsi="宋体"/>
          <w:sz w:val="21"/>
        </w:rPr>
        <w:t xml:space="preserve">(3)</w:t>
      </w:r>
      <w:r>
        <w:rPr>
          <w:rFonts w:hint="eastAsia" w:ascii="宋体" w:hAnsi="宋体"/>
          <w:sz w:val="21"/>
        </w:rPr>
        <w:t xml:space="preserve">运营工作流程及时效设计等方面。</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上述每项应逐条叙述，每项内容科学合理、内容完整、条理清晰、操作性强的得2分；内容基本完整，条理较为清晰的得1分；叙述内容完全脱离采购需求或未作完整叙述的不得分。本项最高得6分。</w:t>
      </w:r>
      <w:r/>
    </w:p>
    <w:p>
      <w:pPr>
        <w:ind w:left="400"/>
        <w:spacing w:line="360" w:lineRule="auto"/>
        <w:widowControl w:val="off"/>
        <w:rPr>
          <w:rFonts w:ascii="仿宋_GB2312" w:hAnsi="仿宋_GB2312" w:eastAsia="仿宋_GB2312" w:cs="仿宋_GB2312"/>
          <w:sz w:val="24"/>
          <w:szCs w:val="32"/>
        </w:rPr>
      </w:pPr>
      <w:r>
        <w:rPr>
          <w:rFonts w:ascii="仿宋_GB2312" w:hAnsi="仿宋_GB2312" w:eastAsia="仿宋_GB2312" w:cs="仿宋_GB2312"/>
          <w:sz w:val="24"/>
          <w:szCs w:val="3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3.云平台运行维护方案（8分）：</w:t>
      </w:r>
      <w:r/>
    </w:p>
    <w:p>
      <w:pPr>
        <w:ind w:left="0" w:firstLine="420"/>
        <w:spacing w:line="360" w:lineRule="auto"/>
        <w:rPr>
          <w:rFonts w:ascii="宋体" w:hAnsi="宋体"/>
          <w:sz w:val="21"/>
        </w:rPr>
      </w:pPr>
      <w:r>
        <w:rPr>
          <w:rFonts w:hint="eastAsia" w:ascii="宋体" w:hAnsi="宋体"/>
          <w:sz w:val="21"/>
        </w:rPr>
        <w:t xml:space="preserve">投标人在理解招标文件要求基础上，编制云平台运行维护方案，方案内容包括但不限于：</w:t>
      </w:r>
      <w:r/>
    </w:p>
    <w:p>
      <w:pPr>
        <w:ind w:left="0" w:firstLine="425"/>
        <w:spacing w:line="360" w:lineRule="auto"/>
        <w:rPr>
          <w:rFonts w:ascii="宋体" w:hAnsi="宋体"/>
          <w:sz w:val="21"/>
        </w:rPr>
      </w:pPr>
      <w:r>
        <w:rPr>
          <w:rFonts w:ascii="宋体" w:hAnsi="宋体"/>
          <w:sz w:val="21"/>
        </w:rPr>
        <w:t xml:space="preserve">(1)</w:t>
      </w:r>
      <w:r>
        <w:rPr>
          <w:rFonts w:hint="eastAsia" w:ascii="宋体" w:hAnsi="宋体"/>
          <w:sz w:val="21"/>
        </w:rPr>
        <w:t xml:space="preserve">云平台运维团队和管理体系；</w:t>
      </w:r>
      <w:r/>
    </w:p>
    <w:p>
      <w:pPr>
        <w:ind w:left="0" w:firstLine="425"/>
        <w:spacing w:line="360" w:lineRule="auto"/>
        <w:rPr>
          <w:rFonts w:ascii="宋体" w:hAnsi="宋体"/>
          <w:sz w:val="21"/>
        </w:rPr>
      </w:pPr>
      <w:r>
        <w:rPr>
          <w:rFonts w:ascii="宋体" w:hAnsi="宋体"/>
          <w:sz w:val="21"/>
        </w:rPr>
        <w:t xml:space="preserve">(2)</w:t>
      </w:r>
      <w:r>
        <w:rPr>
          <w:rFonts w:hint="eastAsia" w:ascii="宋体" w:hAnsi="宋体"/>
          <w:sz w:val="21"/>
        </w:rPr>
        <w:t xml:space="preserve">运维工作流程和规范；</w:t>
      </w:r>
      <w:r/>
    </w:p>
    <w:p>
      <w:pPr>
        <w:ind w:left="0" w:firstLine="425"/>
        <w:spacing w:line="360" w:lineRule="auto"/>
        <w:rPr>
          <w:rFonts w:ascii="宋体" w:hAnsi="宋体"/>
          <w:sz w:val="21"/>
        </w:rPr>
      </w:pPr>
      <w:r>
        <w:rPr>
          <w:rFonts w:ascii="宋体" w:hAnsi="宋体"/>
          <w:sz w:val="21"/>
        </w:rPr>
        <w:t xml:space="preserve">(3)</w:t>
      </w:r>
      <w:r>
        <w:rPr>
          <w:rFonts w:hint="eastAsia" w:ascii="宋体" w:hAnsi="宋体"/>
          <w:sz w:val="21"/>
        </w:rPr>
        <w:t xml:space="preserve">重要时期保障方案；</w:t>
      </w:r>
      <w:r/>
    </w:p>
    <w:p>
      <w:pPr>
        <w:ind w:left="0" w:firstLine="425"/>
        <w:spacing w:line="360" w:lineRule="auto"/>
        <w:rPr>
          <w:rFonts w:ascii="宋体" w:hAnsi="宋体"/>
          <w:sz w:val="21"/>
        </w:rPr>
      </w:pPr>
      <w:r>
        <w:rPr>
          <w:rFonts w:ascii="宋体" w:hAnsi="宋体"/>
          <w:sz w:val="21"/>
        </w:rPr>
        <w:t xml:space="preserve">(4)</w:t>
      </w:r>
      <w:r>
        <w:rPr>
          <w:rFonts w:hint="eastAsia" w:ascii="宋体" w:hAnsi="宋体"/>
          <w:sz w:val="21"/>
        </w:rPr>
        <w:t xml:space="preserve">应急预案和应急演练方案等方面。</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上述每项应逐条叙述，每项内容科学合理、内容完整、条理清晰、操作性强的得2分；内容基本完整，条理较为清晰的得1分；叙述内容完全脱离采购需求或未作完整叙述的不得分。本项最高得8分。</w:t>
      </w:r>
      <w:r/>
    </w:p>
    <w:p>
      <w:pPr>
        <w:ind w:firstLine="482"/>
        <w:spacing w:line="360" w:lineRule="auto"/>
        <w:widowControl w:val="off"/>
        <w:rPr>
          <w:rFonts w:ascii="仿宋_GB2312" w:hAnsi="仿宋_GB2312" w:eastAsia="仿宋_GB2312" w:cs="仿宋_GB2312"/>
          <w:b/>
          <w:bCs/>
          <w:sz w:val="24"/>
          <w:szCs w:val="32"/>
        </w:rPr>
      </w:pPr>
      <w:r>
        <w:rPr>
          <w:rFonts w:ascii="仿宋_GB2312" w:hAnsi="仿宋_GB2312" w:eastAsia="仿宋_GB2312" w:cs="仿宋_GB2312"/>
          <w:b/>
          <w:bCs/>
          <w:sz w:val="24"/>
          <w:szCs w:val="3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4.运行安全保障方案（6分）：</w:t>
      </w:r>
      <w:r/>
    </w:p>
    <w:p>
      <w:pPr>
        <w:ind w:left="0" w:firstLine="420"/>
        <w:spacing w:line="360" w:lineRule="auto"/>
        <w:rPr>
          <w:rFonts w:ascii="宋体" w:hAnsi="宋体"/>
          <w:sz w:val="21"/>
        </w:rPr>
      </w:pPr>
      <w:r>
        <w:rPr>
          <w:rFonts w:hint="eastAsia" w:ascii="宋体" w:hAnsi="宋体"/>
          <w:sz w:val="21"/>
        </w:rPr>
        <w:t xml:space="preserve">投标人在理解招标文件要求基础上，编制云平台运行安全保障方案，方案内容包括但不限于：</w:t>
      </w:r>
      <w:r/>
    </w:p>
    <w:p>
      <w:pPr>
        <w:ind w:left="0" w:firstLine="425"/>
        <w:spacing w:line="360" w:lineRule="auto"/>
        <w:rPr>
          <w:rFonts w:ascii="宋体" w:hAnsi="宋体"/>
          <w:sz w:val="21"/>
        </w:rPr>
      </w:pPr>
      <w:r>
        <w:rPr>
          <w:rFonts w:ascii="宋体" w:hAnsi="宋体"/>
          <w:sz w:val="21"/>
        </w:rPr>
        <w:t xml:space="preserve">(1)</w:t>
      </w:r>
      <w:r>
        <w:rPr>
          <w:rFonts w:hint="eastAsia" w:ascii="宋体" w:hAnsi="宋体"/>
          <w:sz w:val="21"/>
        </w:rPr>
        <w:t xml:space="preserve">等保安全防护解决方案；</w:t>
      </w:r>
      <w:r/>
    </w:p>
    <w:p>
      <w:pPr>
        <w:ind w:left="0" w:firstLine="425"/>
        <w:spacing w:line="360" w:lineRule="auto"/>
        <w:rPr>
          <w:rFonts w:ascii="宋体" w:hAnsi="宋体"/>
          <w:sz w:val="21"/>
        </w:rPr>
      </w:pPr>
      <w:r>
        <w:rPr>
          <w:rFonts w:ascii="宋体" w:hAnsi="宋体"/>
          <w:sz w:val="21"/>
        </w:rPr>
        <w:t xml:space="preserve">(2)</w:t>
      </w:r>
      <w:r>
        <w:rPr>
          <w:rFonts w:hint="eastAsia" w:ascii="宋体" w:hAnsi="宋体"/>
          <w:sz w:val="21"/>
        </w:rPr>
        <w:t xml:space="preserve">安全团队、管理制度；</w:t>
      </w:r>
      <w:r/>
    </w:p>
    <w:p>
      <w:pPr>
        <w:ind w:left="0" w:firstLine="425"/>
        <w:spacing w:line="360" w:lineRule="auto"/>
        <w:rPr>
          <w:rFonts w:ascii="宋体" w:hAnsi="宋体"/>
          <w:sz w:val="21"/>
        </w:rPr>
      </w:pPr>
      <w:r>
        <w:rPr>
          <w:rFonts w:ascii="宋体" w:hAnsi="宋体"/>
          <w:sz w:val="21"/>
        </w:rPr>
        <w:t xml:space="preserve">(3)</w:t>
      </w:r>
      <w:r>
        <w:rPr>
          <w:rFonts w:hint="eastAsia" w:ascii="宋体" w:hAnsi="宋体"/>
          <w:sz w:val="21"/>
        </w:rPr>
        <w:t xml:space="preserve">安全监测预警和安全事件处理等方面。</w:t>
      </w:r>
      <w:r/>
    </w:p>
    <w:p>
      <w:pPr>
        <w:ind w:left="0" w:firstLine="420"/>
        <w:spacing w:line="360" w:lineRule="auto"/>
        <w:widowControl w:val="off"/>
        <w:rPr>
          <w:rFonts w:ascii="宋体" w:hAnsi="宋体"/>
          <w:sz w:val="21"/>
          <w:lang w:bidi="ar"/>
        </w:rPr>
      </w:pPr>
      <w:r>
        <w:rPr>
          <w:rFonts w:hint="eastAsia" w:ascii="宋体" w:hAnsi="宋体"/>
          <w:sz w:val="21"/>
          <w:lang w:bidi="ar"/>
        </w:rPr>
        <w:t xml:space="preserve">上述每项应逐条叙述，每项内容科学合理、内容完整、条理清晰、操作性强的得2分；内容基本完整，条理较为清晰的得1分；叙述内容完全脱离采购需求或未作完整叙述的不得分。本项最高得6分。</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（三）技术要求响应（35分）：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1.技术参数响应情况（20分）：</w:t>
      </w:r>
      <w:r/>
    </w:p>
    <w:p>
      <w:pPr>
        <w:ind w:left="0" w:firstLine="420"/>
        <w:spacing w:line="360" w:lineRule="auto"/>
        <w:rPr>
          <w:rFonts w:ascii="宋体" w:hAnsi="宋体"/>
          <w:sz w:val="21"/>
        </w:rPr>
      </w:pPr>
      <w:r>
        <w:rPr>
          <w:rFonts w:hint="eastAsia" w:ascii="宋体" w:hAnsi="宋体"/>
          <w:sz w:val="21"/>
        </w:rPr>
        <w:t xml:space="preserve">（1）标“</w:t>
      </w:r>
      <w:bookmarkStart w:id="107" w:name="OLE_LINK15"/>
      <w:r/>
      <w:bookmarkStart w:id="108" w:name="OLE_LINK14"/>
      <w:r>
        <w:rPr>
          <w:rFonts w:hint="eastAsia" w:ascii="宋体" w:hAnsi="宋体"/>
          <w:sz w:val="21"/>
        </w:rPr>
        <w:t xml:space="preserve">★</w:t>
      </w:r>
      <w:bookmarkEnd w:id="107"/>
      <w:r/>
      <w:bookmarkEnd w:id="108"/>
      <w:r>
        <w:rPr>
          <w:rFonts w:hint="eastAsia" w:ascii="宋体" w:hAnsi="宋体"/>
          <w:sz w:val="21"/>
        </w:rPr>
        <w:t xml:space="preserve">”项技术参数为关键指标，投标人需要提供所使用产品满足参数指标要求的任意一种证明材料，如：官网截图证明及链接地址或软件著作权证书复印件、生产厂家设备彩页、具有检验资质的检验机构出具的检测报告（检验报告）复印件等，并加盖投标单位公章。每满足1项加1分，最多得10分。</w:t>
      </w:r>
      <w:r/>
    </w:p>
    <w:p>
      <w:pPr>
        <w:ind w:left="0" w:firstLine="420"/>
        <w:spacing w:line="360" w:lineRule="auto"/>
        <w:rPr>
          <w:rFonts w:ascii="宋体" w:hAnsi="宋体"/>
          <w:sz w:val="21"/>
        </w:rPr>
      </w:pPr>
      <w:r>
        <w:rPr>
          <w:rFonts w:hint="eastAsia" w:ascii="宋体" w:hAnsi="宋体"/>
          <w:sz w:val="21"/>
        </w:rPr>
        <w:t xml:space="preserve">（2）标“▲”项技术参数为为一般指标，投标人提供一般指标整体响应承诺函，并加盖投标单位公章，每满足1项加1分，最多得10分。</w:t>
      </w:r>
      <w:r/>
    </w:p>
    <w:p>
      <w:pPr>
        <w:ind w:left="0" w:firstLine="422"/>
        <w:spacing w:line="360" w:lineRule="auto"/>
        <w:widowControl w:val="off"/>
      </w:pPr>
      <w:r>
        <w:rPr>
          <w:rFonts w:hint="eastAsia" w:ascii="宋体" w:hAnsi="宋体"/>
          <w:b/>
          <w:bCs/>
          <w:sz w:val="21"/>
          <w:szCs w:val="22"/>
        </w:rPr>
        <w:t xml:space="preserve">2.云平台产品情况（1</w:t>
      </w:r>
      <w:r>
        <w:rPr>
          <w:rFonts w:ascii="宋体" w:hAnsi="宋体"/>
          <w:b/>
          <w:bCs/>
          <w:sz w:val="21"/>
          <w:szCs w:val="22"/>
        </w:rPr>
        <w:t xml:space="preserve">5</w:t>
      </w:r>
      <w:r>
        <w:rPr>
          <w:rFonts w:hint="eastAsia" w:ascii="宋体" w:hAnsi="宋体"/>
          <w:b/>
          <w:bCs/>
          <w:sz w:val="21"/>
          <w:szCs w:val="22"/>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（1）投标人所投云平台厂商具有云平台软件产品的代码扫描测试报告，提供测试报告关键页扫描件，报告中明确表示代码自主率≥95%得</w:t>
      </w:r>
      <w:r>
        <w:rPr>
          <w:rFonts w:ascii="宋体" w:hAnsi="宋体"/>
          <w:sz w:val="21"/>
          <w:szCs w:val="21"/>
        </w:rPr>
        <w:t xml:space="preserve">3</w:t>
      </w:r>
      <w:r>
        <w:rPr>
          <w:rFonts w:hint="eastAsia" w:ascii="宋体" w:hAnsi="宋体"/>
          <w:sz w:val="21"/>
          <w:szCs w:val="21"/>
        </w:rPr>
        <w:t xml:space="preserve">分，90%≤代码自主率＜95%得1</w:t>
      </w:r>
      <w:r>
        <w:rPr>
          <w:rFonts w:ascii="宋体" w:hAnsi="宋体"/>
          <w:sz w:val="21"/>
          <w:szCs w:val="21"/>
        </w:rPr>
        <w:t xml:space="preserve">.5</w:t>
      </w:r>
      <w:r>
        <w:rPr>
          <w:rFonts w:hint="eastAsia" w:ascii="宋体" w:hAnsi="宋体"/>
          <w:sz w:val="21"/>
          <w:szCs w:val="21"/>
        </w:rPr>
        <w:t xml:space="preserve">分，其他不得分。本项最高得</w:t>
      </w:r>
      <w:r>
        <w:rPr>
          <w:rFonts w:ascii="宋体" w:hAnsi="宋体"/>
          <w:sz w:val="21"/>
          <w:szCs w:val="21"/>
        </w:rPr>
        <w:t xml:space="preserve">3</w:t>
      </w:r>
      <w:r>
        <w:rPr>
          <w:rFonts w:hint="eastAsia" w:ascii="宋体" w:hAnsi="宋体"/>
          <w:sz w:val="21"/>
          <w:szCs w:val="21"/>
        </w:rPr>
        <w:t xml:space="preserve">分</w:t>
      </w:r>
      <w:r>
        <w:rPr>
          <w:rFonts w:hint="eastAsia"/>
        </w:rPr>
        <w:t xml:space="preserve">。</w:t>
      </w:r>
      <w:r/>
    </w:p>
    <w:p>
      <w:pPr>
        <w:ind w:left="0" w:firstLine="422"/>
        <w:spacing w:line="360" w:lineRule="auto"/>
        <w:rPr>
          <w:rFonts w:ascii="宋体" w:hAnsi="宋体"/>
          <w:sz w:val="21"/>
        </w:rPr>
      </w:pPr>
      <w:r>
        <w:rPr>
          <w:rFonts w:hint="eastAsia" w:ascii="宋体" w:hAnsi="宋体"/>
          <w:b/>
          <w:bCs/>
          <w:sz w:val="21"/>
        </w:rPr>
        <w:t xml:space="preserve">（注：投标单位需提供云平台软件产品代码扫描测试报告关键页的扫描件，并加盖投标单位公章，未达到上述要求的不得分。）</w:t>
      </w:r>
      <w:r/>
    </w:p>
    <w:p>
      <w:pPr>
        <w:ind w:left="0" w:firstLine="420"/>
        <w:spacing w:line="360" w:lineRule="auto"/>
        <w:rPr>
          <w:rFonts w:ascii="宋体" w:hAnsi="宋体"/>
          <w:sz w:val="21"/>
          <w:szCs w:val="21"/>
        </w:rPr>
      </w:pPr>
      <w:r>
        <w:rPr>
          <w:rFonts w:hint="eastAsia" w:ascii="宋体" w:hAnsi="宋体"/>
          <w:sz w:val="21"/>
          <w:szCs w:val="21"/>
        </w:rPr>
        <w:t xml:space="preserve">（2）投标人所投云平台产品，需通过工业和信息化部隶属单位组织的软件产品可信评估：提供“卓越级”评估结果的得</w:t>
      </w:r>
      <w:r>
        <w:rPr>
          <w:rFonts w:ascii="宋体" w:hAnsi="宋体"/>
          <w:sz w:val="21"/>
          <w:szCs w:val="21"/>
        </w:rPr>
        <w:t xml:space="preserve">3</w:t>
      </w:r>
      <w:r>
        <w:rPr>
          <w:rFonts w:hint="eastAsia" w:ascii="宋体" w:hAnsi="宋体"/>
          <w:sz w:val="21"/>
          <w:szCs w:val="21"/>
        </w:rPr>
        <w:t xml:space="preserve">分，提供“增强级”评估结果的得1</w:t>
      </w:r>
      <w:r>
        <w:rPr>
          <w:rFonts w:ascii="宋体" w:hAnsi="宋体"/>
          <w:sz w:val="21"/>
          <w:szCs w:val="21"/>
        </w:rPr>
        <w:t xml:space="preserve">.5</w:t>
      </w:r>
      <w:r>
        <w:rPr>
          <w:rFonts w:hint="eastAsia" w:ascii="宋体" w:hAnsi="宋体"/>
          <w:sz w:val="21"/>
          <w:szCs w:val="21"/>
        </w:rPr>
        <w:t xml:space="preserve">分，其余情形不得分。本项最高得</w:t>
      </w:r>
      <w:r>
        <w:rPr>
          <w:rFonts w:ascii="宋体" w:hAnsi="宋体"/>
          <w:sz w:val="21"/>
          <w:szCs w:val="21"/>
        </w:rPr>
        <w:t xml:space="preserve">3</w:t>
      </w:r>
      <w:r>
        <w:rPr>
          <w:rFonts w:hint="eastAsia" w:ascii="宋体" w:hAnsi="宋体"/>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（3）投标人所投云平台厂商具有认证标准为GB/T41479-2022的数据安全管理认证证书得</w:t>
      </w:r>
      <w:r>
        <w:rPr>
          <w:rFonts w:ascii="宋体" w:hAnsi="宋体"/>
          <w:sz w:val="21"/>
          <w:szCs w:val="21"/>
        </w:rPr>
        <w:t xml:space="preserve">3</w:t>
      </w:r>
      <w:r>
        <w:rPr>
          <w:rFonts w:hint="eastAsia" w:ascii="宋体" w:hAnsi="宋体"/>
          <w:sz w:val="21"/>
          <w:szCs w:val="21"/>
        </w:rPr>
        <w:t xml:space="preserve">分，本项最高得</w:t>
      </w:r>
      <w:r>
        <w:rPr>
          <w:rFonts w:ascii="宋体" w:hAnsi="宋体"/>
          <w:sz w:val="21"/>
          <w:szCs w:val="21"/>
        </w:rPr>
        <w:t xml:space="preserve">3</w:t>
      </w:r>
      <w:r>
        <w:rPr>
          <w:rFonts w:hint="eastAsia" w:ascii="宋体" w:hAnsi="宋体"/>
          <w:sz w:val="21"/>
          <w:szCs w:val="21"/>
        </w:rPr>
        <w:t xml:space="preserve">分</w:t>
      </w:r>
      <w:r>
        <w:rPr>
          <w:rFonts w:hint="eastAsia"/>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（4）投标人所投云平台厂商具有软件供应链安全能力认证证书，提供3级证书得</w:t>
      </w:r>
      <w:r>
        <w:rPr>
          <w:rFonts w:ascii="宋体" w:hAnsi="宋体"/>
          <w:sz w:val="21"/>
          <w:szCs w:val="21"/>
        </w:rPr>
        <w:t xml:space="preserve">3</w:t>
      </w:r>
      <w:r>
        <w:rPr>
          <w:rFonts w:hint="eastAsia" w:ascii="宋体" w:hAnsi="宋体"/>
          <w:sz w:val="21"/>
          <w:szCs w:val="21"/>
        </w:rPr>
        <w:t xml:space="preserve">分，提供2级证书得1</w:t>
      </w:r>
      <w:r>
        <w:rPr>
          <w:rFonts w:ascii="宋体" w:hAnsi="宋体"/>
          <w:sz w:val="21"/>
          <w:szCs w:val="21"/>
        </w:rPr>
        <w:t xml:space="preserve">.5</w:t>
      </w:r>
      <w:r>
        <w:rPr>
          <w:rFonts w:hint="eastAsia" w:ascii="宋体" w:hAnsi="宋体"/>
          <w:sz w:val="21"/>
          <w:szCs w:val="21"/>
        </w:rPr>
        <w:t xml:space="preserve">分，其他不得分。需提供证书扫描件（提供多个证书只选取级别最高的一个为评审依据），不提供或不满足要求不得分。本项最高得</w:t>
      </w:r>
      <w:r>
        <w:rPr>
          <w:rFonts w:ascii="宋体" w:hAnsi="宋体"/>
          <w:sz w:val="21"/>
          <w:szCs w:val="21"/>
        </w:rPr>
        <w:t xml:space="preserve">3</w:t>
      </w:r>
      <w:r>
        <w:rPr>
          <w:rFonts w:hint="eastAsia" w:ascii="宋体" w:hAnsi="宋体"/>
          <w:sz w:val="21"/>
          <w:szCs w:val="21"/>
        </w:rPr>
        <w:t xml:space="preserve">分</w:t>
      </w:r>
      <w:r>
        <w:rPr>
          <w:rFonts w:hint="eastAsia"/>
        </w:rPr>
        <w:t xml:space="preserve">。</w:t>
      </w:r>
      <w:r/>
    </w:p>
    <w:p>
      <w:pPr>
        <w:ind w:left="0" w:firstLine="422"/>
        <w:spacing w:line="360" w:lineRule="auto"/>
        <w:rPr>
          <w:rFonts w:ascii="宋体" w:hAnsi="宋体"/>
          <w:b/>
          <w:bCs/>
          <w:sz w:val="21"/>
        </w:rPr>
      </w:pPr>
      <w:r>
        <w:rPr>
          <w:rFonts w:hint="eastAsia" w:ascii="宋体" w:hAnsi="宋体"/>
          <w:b/>
          <w:bCs/>
          <w:sz w:val="21"/>
        </w:rPr>
        <w:t xml:space="preserve">（注：上述（2）-（4）项，投标文件内须提供有效期内证书扫描件或国家认证认可监督管理委员会官方网站上的查询截图并加盖投标单位公章，未提供不得分）</w:t>
      </w:r>
      <w:r/>
    </w:p>
    <w:p>
      <w:pPr>
        <w:ind w:left="0" w:firstLine="420"/>
        <w:spacing w:line="360" w:lineRule="auto"/>
      </w:pPr>
      <w:r>
        <w:rPr>
          <w:rFonts w:hint="eastAsia" w:ascii="宋体" w:hAnsi="宋体"/>
          <w:sz w:val="21"/>
          <w:szCs w:val="21"/>
        </w:rPr>
        <w:t xml:space="preserve">（5）投标人拟投入本项目使用的云平台兼容适配性，同一版本的云平台同时兼容适配中国信息安全测评中心发布的安全可靠测评结果公告中的3种及以上不同技术路线的CPU的，得3分；不足3种的不得分。本项最高得3分</w:t>
      </w:r>
      <w:r>
        <w:rPr>
          <w:rFonts w:hint="eastAsia"/>
        </w:rPr>
        <w:t xml:space="preserve">。</w:t>
      </w:r>
      <w:r/>
    </w:p>
    <w:p>
      <w:pPr>
        <w:ind w:left="0" w:firstLine="422"/>
        <w:spacing w:line="360" w:lineRule="auto"/>
        <w:rPr>
          <w:rFonts w:ascii="宋体" w:hAnsi="宋体"/>
          <w:b/>
          <w:bCs/>
          <w:sz w:val="21"/>
        </w:rPr>
      </w:pPr>
      <w:r>
        <w:rPr>
          <w:rFonts w:hint="eastAsia" w:ascii="宋体" w:hAnsi="宋体"/>
          <w:b/>
          <w:bCs/>
          <w:sz w:val="21"/>
        </w:rPr>
        <w:t xml:space="preserve">（注：投标单位需提供云平台的相关兼容适配结果证明文件复印件及对应的安全可靠测评截图，并加盖投标单位公章，未达到上述要求的不得分。）</w:t>
      </w:r>
      <w:r/>
    </w:p>
    <w:p>
      <w:pPr>
        <w:pStyle w:val="1025"/>
      </w:p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（四）投标人履约能力（1</w:t>
      </w:r>
      <w:r>
        <w:rPr>
          <w:rFonts w:ascii="宋体" w:hAnsi="宋体"/>
          <w:b/>
          <w:bCs/>
          <w:sz w:val="21"/>
          <w:szCs w:val="22"/>
        </w:rPr>
        <w:t xml:space="preserve">0</w:t>
      </w:r>
      <w:r>
        <w:rPr>
          <w:rFonts w:hint="eastAsia" w:ascii="宋体" w:hAnsi="宋体"/>
          <w:b/>
          <w:bCs/>
          <w:sz w:val="21"/>
          <w:szCs w:val="22"/>
        </w:rPr>
        <w:t xml:space="preserve">分)</w:t>
      </w:r>
      <w:r/>
    </w:p>
    <w:p>
      <w:pPr>
        <w:ind w:left="0" w:firstLine="420"/>
        <w:spacing w:line="360" w:lineRule="auto"/>
        <w:widowControl w:val="off"/>
        <w:rPr>
          <w:rFonts w:ascii="宋体" w:hAnsi="宋体"/>
          <w:sz w:val="21"/>
        </w:rPr>
      </w:pPr>
      <w:r>
        <w:rPr>
          <w:rFonts w:ascii="宋体" w:hAnsi="宋体"/>
          <w:sz w:val="21"/>
        </w:rPr>
        <w:t xml:space="preserve">1.</w:t>
      </w:r>
      <w:r>
        <w:rPr>
          <w:rFonts w:hint="eastAsia" w:ascii="宋体" w:hAnsi="宋体"/>
          <w:sz w:val="21"/>
          <w:szCs w:val="21"/>
          <w:lang w:bidi="ar"/>
        </w:rPr>
        <w:t xml:space="preserve">投标人具备</w:t>
      </w:r>
      <w:r>
        <w:rPr>
          <w:rFonts w:hint="eastAsia" w:ascii="宋体" w:hAnsi="宋体"/>
          <w:sz w:val="21"/>
          <w:lang w:bidi="ar"/>
        </w:rPr>
        <w:t xml:space="preserve">计算机软件著作权证书（所提供的著作权证书须为云计算、存储、网络、安全、操作系统、数据库、中间件、人工智能、云管理等与本项目具有相关性的软件）或</w:t>
      </w:r>
      <w:r>
        <w:rPr>
          <w:rFonts w:hint="eastAsia" w:ascii="宋体" w:hAnsi="宋体"/>
          <w:sz w:val="21"/>
          <w:szCs w:val="21"/>
          <w:lang w:bidi="ar"/>
        </w:rPr>
        <w:t xml:space="preserve">有效期内的</w:t>
      </w:r>
      <w:r>
        <w:rPr>
          <w:rFonts w:hint="eastAsia" w:ascii="宋体" w:hAnsi="宋体"/>
          <w:sz w:val="21"/>
          <w:lang w:bidi="ar"/>
        </w:rPr>
        <w:t xml:space="preserve">信息技术服务管理体系认证证书或信息安全管理体系认证证书的，每具有1项证书得</w:t>
      </w:r>
      <w:r>
        <w:rPr>
          <w:rFonts w:ascii="宋体" w:hAnsi="宋体"/>
          <w:sz w:val="21"/>
          <w:lang w:bidi="ar"/>
        </w:rPr>
        <w:t xml:space="preserve">2</w:t>
      </w:r>
      <w:r>
        <w:rPr>
          <w:rFonts w:hint="eastAsia" w:ascii="宋体" w:hAnsi="宋体"/>
          <w:sz w:val="21"/>
          <w:lang w:bidi="ar"/>
        </w:rPr>
        <w:t xml:space="preserve">分，最高得2分。</w:t>
      </w:r>
      <w:r/>
    </w:p>
    <w:p>
      <w:pPr>
        <w:ind w:left="0" w:firstLine="422"/>
        <w:spacing w:line="360" w:lineRule="auto"/>
        <w:widowControl w:val="off"/>
        <w:rPr>
          <w:rFonts w:ascii="宋体" w:hAnsi="宋体"/>
          <w:sz w:val="21"/>
        </w:rPr>
      </w:pPr>
      <w:r>
        <w:rPr>
          <w:rFonts w:hint="eastAsia" w:ascii="宋体" w:hAnsi="宋体"/>
          <w:b/>
          <w:bCs/>
          <w:sz w:val="21"/>
          <w:szCs w:val="21"/>
          <w:lang w:bidi="ar"/>
        </w:rPr>
        <w:t xml:space="preserve">（注：投标文件中须提供对应有效证书或国家认证认可监督管理委员会官方网站查询截图，未按要求提供或提供材料无效的，对应证书不计分。）</w:t>
      </w:r>
      <w:r/>
    </w:p>
    <w:p>
      <w:pPr>
        <w:numPr>
          <w:ilvl w:val="255"/>
          <w:numId w:val="0"/>
        </w:numPr>
        <w:ind w:firstLine="420"/>
        <w:spacing w:line="360" w:lineRule="auto"/>
        <w:rPr>
          <w:rFonts w:ascii="宋体" w:hAnsi="宋体"/>
          <w:sz w:val="21"/>
          <w:szCs w:val="21"/>
          <w:lang w:bidi="ar"/>
        </w:rPr>
      </w:pPr>
      <w:r>
        <w:rPr>
          <w:rFonts w:ascii="宋体" w:hAnsi="宋体"/>
          <w:sz w:val="21"/>
        </w:rPr>
        <w:t xml:space="preserve">2</w:t>
      </w:r>
      <w:r>
        <w:rPr>
          <w:rFonts w:hint="eastAsia" w:ascii="宋体" w:hAnsi="宋体"/>
          <w:sz w:val="21"/>
        </w:rPr>
        <w:t xml:space="preserve">.</w:t>
      </w:r>
      <w:r>
        <w:rPr>
          <w:rFonts w:hint="eastAsia" w:ascii="宋体" w:hAnsi="宋体"/>
          <w:sz w:val="21"/>
          <w:szCs w:val="21"/>
          <w:lang w:bidi="ar"/>
        </w:rPr>
        <w:t xml:space="preserve">投标人拟投入本项目的团队人员，具备以下任一有效证书的，每个证书得 1 分；同一人员持有多个证书不重复计分，同一类别证书累计得分最高不超过 2 分，本项累计最高得 5 分。</w:t>
      </w:r>
      <w:r/>
    </w:p>
    <w:p>
      <w:pPr>
        <w:ind w:left="0" w:firstLine="420"/>
        <w:spacing w:line="360" w:lineRule="auto"/>
        <w:rPr>
          <w:rFonts w:ascii="宋体" w:hAnsi="宋体"/>
          <w:sz w:val="21"/>
          <w:lang w:bidi="ar"/>
        </w:rPr>
      </w:pPr>
      <w:r>
        <w:rPr>
          <w:rFonts w:hint="eastAsia" w:ascii="宋体" w:hAnsi="宋体"/>
          <w:sz w:val="21"/>
          <w:lang w:bidi="ar"/>
        </w:rPr>
        <w:t xml:space="preserve">（1）人社部门颁发的中级及以上职称证书；</w:t>
      </w:r>
      <w:r/>
    </w:p>
    <w:p>
      <w:pPr>
        <w:ind w:left="0" w:firstLine="420"/>
        <w:spacing w:line="360" w:lineRule="auto"/>
        <w:rPr>
          <w:rFonts w:ascii="宋体" w:hAnsi="宋体"/>
          <w:sz w:val="21"/>
          <w:lang w:bidi="ar"/>
        </w:rPr>
      </w:pPr>
      <w:r>
        <w:rPr>
          <w:rFonts w:hint="eastAsia" w:ascii="宋体" w:hAnsi="宋体"/>
          <w:sz w:val="21"/>
          <w:lang w:bidi="ar"/>
        </w:rPr>
        <w:t xml:space="preserve">（2）中级及以上通信专业技术人员职业资格证书；</w:t>
      </w:r>
      <w:r/>
    </w:p>
    <w:p>
      <w:pPr>
        <w:ind w:left="0" w:firstLine="420"/>
        <w:spacing w:line="360" w:lineRule="auto"/>
        <w:rPr>
          <w:rFonts w:ascii="宋体" w:hAnsi="宋体"/>
          <w:sz w:val="21"/>
          <w:lang w:bidi="ar"/>
        </w:rPr>
      </w:pPr>
      <w:r>
        <w:rPr>
          <w:rFonts w:hint="eastAsia" w:ascii="宋体" w:hAnsi="宋体"/>
          <w:sz w:val="21"/>
          <w:lang w:bidi="ar"/>
        </w:rPr>
        <w:t xml:space="preserve">（3）电子信息类专业或计算机类专业本科及以上学历证书；</w:t>
      </w:r>
      <w:r/>
    </w:p>
    <w:p>
      <w:pPr>
        <w:ind w:left="0" w:firstLine="420"/>
        <w:spacing w:line="360" w:lineRule="auto"/>
        <w:rPr>
          <w:rFonts w:ascii="宋体" w:hAnsi="宋体"/>
          <w:sz w:val="21"/>
          <w:lang w:bidi="ar"/>
        </w:rPr>
      </w:pPr>
      <w:r>
        <w:rPr>
          <w:rFonts w:hint="eastAsia" w:ascii="宋体" w:hAnsi="宋体"/>
          <w:sz w:val="21"/>
          <w:lang w:bidi="ar"/>
        </w:rPr>
        <w:t xml:space="preserve">（4）信息安全保障人员认证（CISAW）证书。</w:t>
      </w:r>
      <w:r/>
    </w:p>
    <w:p>
      <w:pPr>
        <w:ind w:left="0" w:firstLine="422"/>
        <w:spacing w:line="560" w:lineRule="exact"/>
      </w:pPr>
      <w:r>
        <w:rPr>
          <w:rFonts w:hint="eastAsia" w:ascii="宋体" w:hAnsi="宋体"/>
          <w:b/>
          <w:bCs/>
          <w:sz w:val="21"/>
          <w:szCs w:val="21"/>
          <w:lang w:bidi="ar"/>
        </w:rPr>
        <w:t xml:space="preserve">（注：投标文件中须提供上述证书扫描件，同时附投标人为该人员缴纳的最近一期社保缴费记录证明扫描件，未按要求提供或提供材料不齐全的，对应证书不计分。）</w:t>
      </w:r>
      <w:r/>
    </w:p>
    <w:p>
      <w:pPr>
        <w:numPr>
          <w:ilvl w:val="255"/>
          <w:numId w:val="0"/>
        </w:numPr>
        <w:ind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.投标人在</w:t>
      </w:r>
      <w:bookmarkStart w:id="109" w:name="OLE_LINK23"/>
      <w:r/>
      <w:bookmarkStart w:id="110" w:name="OLE_LINK24"/>
      <w:r>
        <w:rPr>
          <w:rFonts w:hint="eastAsia" w:ascii="宋体" w:hAnsi="宋体"/>
          <w:sz w:val="21"/>
        </w:rPr>
        <w:t xml:space="preserve">满足采购需求中1.2.25.</w:t>
      </w:r>
      <w:bookmarkEnd w:id="109"/>
      <w:r/>
      <w:bookmarkEnd w:id="110"/>
      <w:r>
        <w:rPr>
          <w:rFonts w:hint="eastAsia" w:ascii="宋体" w:hAnsi="宋体"/>
          <w:sz w:val="21"/>
        </w:rPr>
        <w:t xml:space="preserve">管理及运维人员要求的基础上，投入本项目的团队每多1名云计算、网络、安全、数据库、人工智能等与本项目服务内容相关方向的人员加0.5分，本项累计最高得3分。</w:t>
      </w:r>
      <w:r/>
    </w:p>
    <w:p>
      <w:pPr>
        <w:ind w:left="0" w:firstLine="422"/>
        <w:spacing w:line="560" w:lineRule="exact"/>
      </w:pPr>
      <w:r>
        <w:rPr>
          <w:rFonts w:hint="eastAsia" w:ascii="宋体" w:hAnsi="宋体"/>
          <w:b/>
          <w:bCs/>
          <w:sz w:val="21"/>
          <w:szCs w:val="21"/>
          <w:lang w:bidi="ar"/>
        </w:rPr>
        <w:t xml:space="preserve">（注：投标文件中须提供投标人为该人员缴纳的最近一期社保缴费记录证明扫描件，未按要求提供或提供材料不齐全的，对应人员不计分。）</w:t>
      </w:r>
      <w:r/>
    </w:p>
    <w:p>
      <w:pPr>
        <w:ind w:left="0" w:firstLine="420"/>
        <w:spacing w:line="360" w:lineRule="auto"/>
        <w:rPr>
          <w:rFonts w:ascii="宋体" w:hAnsi="宋体"/>
          <w:sz w:val="21"/>
        </w:rPr>
      </w:pPr>
      <w:r>
        <w:rPr>
          <w:rFonts w:ascii="宋体" w:hAnsi="宋体"/>
          <w:sz w:val="21"/>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（五）投标人云资源（6分）</w:t>
      </w:r>
      <w:r/>
    </w:p>
    <w:p>
      <w:pPr>
        <w:ind w:left="0" w:firstLine="420"/>
        <w:spacing w:line="360" w:lineRule="auto"/>
        <w:rPr>
          <w:rFonts w:ascii="宋体" w:hAnsi="宋体"/>
          <w:b/>
          <w:bCs/>
          <w:sz w:val="21"/>
          <w:szCs w:val="21"/>
        </w:rPr>
      </w:pPr>
      <w:r>
        <w:rPr>
          <w:rFonts w:hint="eastAsia" w:ascii="宋体" w:hAnsi="宋体"/>
          <w:sz w:val="21"/>
          <w:szCs w:val="21"/>
        </w:rPr>
        <w:t xml:space="preserve">1.投标人已管理的国产化IaaS资源</w:t>
      </w:r>
      <w:r>
        <w:rPr>
          <w:rFonts w:ascii="宋体" w:hAnsi="宋体"/>
          <w:sz w:val="21"/>
          <w:szCs w:val="21"/>
        </w:rPr>
        <w:t xml:space="preserve">(</w:t>
      </w:r>
      <w:r>
        <w:rPr>
          <w:rFonts w:hint="eastAsia" w:ascii="宋体" w:hAnsi="宋体"/>
          <w:sz w:val="21"/>
          <w:szCs w:val="21"/>
        </w:rPr>
        <w:t xml:space="preserve">国产化IaaS资源：所用服务器的CPU全部满足中国信息安全测评中心发布的安全可靠测评结果要求</w:t>
      </w:r>
      <w:r>
        <w:rPr>
          <w:rFonts w:ascii="宋体" w:hAnsi="宋体"/>
          <w:sz w:val="21"/>
          <w:szCs w:val="21"/>
        </w:rPr>
        <w:t xml:space="preserve">)</w:t>
      </w:r>
      <w:r>
        <w:rPr>
          <w:rFonts w:hint="eastAsia" w:ascii="宋体" w:hAnsi="宋体"/>
          <w:sz w:val="21"/>
          <w:szCs w:val="21"/>
        </w:rPr>
        <w:t xml:space="preserve">规模不小于20000核vCPU、60000GB内存、1200TB存储。</w:t>
      </w:r>
      <w:r>
        <w:rPr>
          <w:rFonts w:hint="eastAsia" w:ascii="宋体" w:hAnsi="宋体"/>
          <w:b/>
          <w:bCs/>
          <w:sz w:val="21"/>
          <w:szCs w:val="21"/>
        </w:rPr>
        <w:t xml:space="preserve">投标人在满足国产化要求基础上达到上述规模的，每达到一项得1分。最高得3分。</w:t>
      </w:r>
      <w:r/>
    </w:p>
    <w:p>
      <w:pPr>
        <w:ind w:left="0" w:firstLine="420"/>
        <w:spacing w:line="560" w:lineRule="exact"/>
        <w:rPr>
          <w:rFonts w:ascii="仿宋_GB2312" w:hAnsi="仿宋_GB2312" w:eastAsia="仿宋_GB2312" w:cs="仿宋_GB2312"/>
          <w:bCs/>
          <w:sz w:val="24"/>
          <w:szCs w:val="24"/>
          <w:lang w:bidi="ar"/>
        </w:rPr>
      </w:pPr>
      <w:r>
        <w:rPr>
          <w:rFonts w:hint="eastAsia" w:ascii="宋体" w:hAnsi="宋体"/>
          <w:b/>
          <w:bCs/>
          <w:sz w:val="21"/>
        </w:rPr>
        <w:t xml:space="preserve">（注：上述项，投标文件中应提供对应规模资源的证明材料复印件和搭建资源所用全部服务器的CPU型号及对应的</w:t>
      </w:r>
      <w:r>
        <w:rPr>
          <w:rFonts w:hint="eastAsia" w:ascii="宋体" w:hAnsi="宋体"/>
          <w:b/>
          <w:bCs/>
          <w:sz w:val="21"/>
          <w:szCs w:val="21"/>
        </w:rPr>
        <w:t xml:space="preserve">安全可靠测评截图</w:t>
      </w:r>
      <w:r>
        <w:rPr>
          <w:rFonts w:hint="eastAsia" w:ascii="宋体" w:hAnsi="宋体"/>
          <w:b/>
          <w:bCs/>
          <w:sz w:val="21"/>
        </w:rPr>
        <w:t xml:space="preserve">，并加盖投标单位的公章，未达到上述要求的不得分。）</w:t>
      </w:r>
      <w:r/>
    </w:p>
    <w:p>
      <w:pPr>
        <w:ind w:left="0" w:firstLine="420"/>
        <w:spacing w:line="360" w:lineRule="auto"/>
        <w:rPr>
          <w:rFonts w:ascii="宋体" w:hAnsi="宋体"/>
          <w:sz w:val="21"/>
        </w:rPr>
      </w:pPr>
      <w:r>
        <w:rPr>
          <w:rFonts w:hint="eastAsia" w:ascii="宋体" w:hAnsi="宋体"/>
          <w:sz w:val="21"/>
        </w:rPr>
        <w:t xml:space="preserve">2.投标人承诺在合同签署后一个月内，具备将国产化IaaS资源规模扩展至不小于30000核vCPU、90000GB内存、1800TB存储的能力（扩展IaaS资源池所采用的物理服务器和存储服务器的CPU均通过中国信息安全测评中心组织的安全可靠测评）。</w:t>
      </w:r>
      <w:r/>
    </w:p>
    <w:p>
      <w:pPr>
        <w:ind w:left="0" w:firstLine="420"/>
        <w:spacing w:line="560" w:lineRule="exact"/>
        <w:rPr>
          <w:rFonts w:ascii="宋体" w:hAnsi="宋体"/>
          <w:b/>
          <w:bCs/>
          <w:sz w:val="21"/>
        </w:rPr>
      </w:pPr>
      <w:r>
        <w:rPr>
          <w:rFonts w:hint="eastAsia" w:ascii="宋体" w:hAnsi="宋体"/>
          <w:b/>
          <w:bCs/>
          <w:sz w:val="21"/>
        </w:rPr>
        <w:t xml:space="preserve">（注：投标单位需提供相应承诺函，并加盖投标单位公章，得3分，未提供或提供不符合要求的不得分。）</w:t>
      </w:r>
      <w:r/>
    </w:p>
    <w:p>
      <w:pPr>
        <w:ind w:left="0" w:firstLine="420"/>
        <w:spacing w:line="360" w:lineRule="auto"/>
        <w:rPr>
          <w:rFonts w:ascii="宋体" w:hAnsi="宋体"/>
          <w:sz w:val="21"/>
        </w:rPr>
      </w:pPr>
      <w:r>
        <w:rPr>
          <w:rFonts w:ascii="宋体" w:hAnsi="宋体"/>
          <w:sz w:val="21"/>
        </w:rPr>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（六）投标人类似业绩（4分）</w:t>
      </w:r>
      <w:r/>
    </w:p>
    <w:p>
      <w:pPr>
        <w:numPr>
          <w:ilvl w:val="255"/>
          <w:numId w:val="0"/>
        </w:numPr>
        <w:ind w:firstLine="420"/>
        <w:spacing w:line="360" w:lineRule="auto"/>
        <w:rPr>
          <w:rFonts w:ascii="宋体" w:hAnsi="宋体"/>
          <w:sz w:val="21"/>
        </w:rPr>
      </w:pPr>
      <w:r>
        <w:rPr>
          <w:rFonts w:hint="eastAsia" w:ascii="宋体" w:hAnsi="宋体"/>
          <w:sz w:val="21"/>
        </w:rPr>
        <w:t xml:space="preserve">投标人提供自2023年1月1日（类似业绩日期认定：以签订合同日期为准）以来承担的国产化政务云服务项目业绩，每具备1项业绩得2分，最高得4分。</w:t>
      </w:r>
      <w:r/>
    </w:p>
    <w:p>
      <w:pPr>
        <w:ind w:left="0" w:firstLine="422"/>
        <w:spacing w:line="360" w:lineRule="auto"/>
        <w:widowControl w:val="off"/>
        <w:rPr>
          <w:rFonts w:ascii="宋体" w:hAnsi="宋体"/>
          <w:b/>
          <w:bCs/>
          <w:sz w:val="21"/>
          <w:szCs w:val="22"/>
        </w:rPr>
      </w:pPr>
      <w:r>
        <w:rPr>
          <w:rFonts w:hint="eastAsia" w:ascii="宋体" w:hAnsi="宋体"/>
          <w:b/>
          <w:bCs/>
          <w:sz w:val="21"/>
          <w:szCs w:val="21"/>
          <w:lang w:bidi="ar"/>
        </w:rPr>
        <w:t xml:space="preserve">（注：投标文件中需提供完整的业绩合同证明材料，包括项目名称、合同金额、项目内容、签字盖章等并加盖投标单位公章，资料提供不齐全或未提供不得分。）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0" w:firstLine="422"/>
        <w:spacing w:line="360" w:lineRule="auto"/>
        <w:widowControl w:val="off"/>
        <w:rPr>
          <w:rFonts w:ascii="宋体" w:hAnsi="宋体"/>
          <w:b/>
          <w:bCs/>
          <w:sz w:val="21"/>
          <w:szCs w:val="22"/>
        </w:rPr>
      </w:pPr>
      <w:r>
        <w:rPr>
          <w:rFonts w:ascii="宋体" w:hAnsi="宋体"/>
          <w:b/>
          <w:bCs/>
          <w:sz w:val="21"/>
          <w:szCs w:val="22"/>
        </w:rPr>
      </w:r>
      <w:r/>
    </w:p>
    <w:p>
      <w:pPr>
        <w:ind w:left="400"/>
        <w:spacing w:line="360" w:lineRule="auto"/>
        <w:widowControl w:val="off"/>
        <w:rPr>
          <w:rFonts w:ascii="仿宋_GB2312" w:hAnsi="仿宋_GB2312" w:eastAsia="仿宋_GB2312" w:cs="仿宋_GB2312"/>
          <w:sz w:val="24"/>
          <w:szCs w:val="32"/>
        </w:rPr>
      </w:pPr>
      <w:r>
        <w:rPr>
          <w:rFonts w:ascii="仿宋_GB2312" w:hAnsi="仿宋_GB2312" w:eastAsia="仿宋_GB2312" w:cs="仿宋_GB2312"/>
          <w:sz w:val="24"/>
          <w:szCs w:val="32"/>
        </w:rPr>
      </w:r>
      <w:r/>
    </w:p>
    <w:p>
      <w:r/>
      <w:r/>
    </w:p>
    <w:p>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仿宋">
    <w:panose1 w:val="02010609060101010101"/>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宋体">
    <w:panose1 w:val="02010600030101010101"/>
  </w:font>
  <w:font w:name="Calibri">
    <w:panose1 w:val="020F050202020403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0"/>
        <w:ind w:left="0"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0"/>
        <w:ind w:left="0"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60"/>
        <w:ind w:left="0"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60"/>
        <w:ind w:left="0"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60"/>
        <w:ind w:left="0"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pBdr>
        <w:bottom w:val="single" w:color="auto" w:sz="4" w:space="0"/>
      </w:pBdr>
    </w:pPr>
    <w:r>
      <w:rPr>
        <w:rFonts w:ascii="宋体" w:hAnsi="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435" w:hanging="43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7"/>
  </w:num>
  <w:num w:numId="3">
    <w:abstractNumId w:val="1"/>
  </w:num>
  <w:num w:numId="4">
    <w:abstractNumId w:val="6"/>
  </w:num>
  <w:num w:numId="5">
    <w:abstractNumId w:val="8"/>
  </w:num>
  <w:num w:numId="6">
    <w:abstractNumId w:val="2"/>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6">
    <w:name w:val="Heading 1 Char"/>
    <w:basedOn w:val="1023"/>
    <w:link w:val="1014"/>
    <w:uiPriority w:val="9"/>
    <w:rPr>
      <w:rFonts w:ascii="Arial" w:hAnsi="Arial" w:eastAsia="Arial" w:cs="Arial"/>
      <w:sz w:val="40"/>
      <w:szCs w:val="40"/>
    </w:rPr>
  </w:style>
  <w:style w:type="character" w:styleId="867">
    <w:name w:val="Heading 2 Char"/>
    <w:basedOn w:val="1023"/>
    <w:link w:val="1015"/>
    <w:uiPriority w:val="9"/>
    <w:rPr>
      <w:rFonts w:ascii="Arial" w:hAnsi="Arial" w:eastAsia="Arial" w:cs="Arial"/>
      <w:sz w:val="34"/>
    </w:rPr>
  </w:style>
  <w:style w:type="character" w:styleId="868">
    <w:name w:val="Heading 3 Char"/>
    <w:basedOn w:val="1023"/>
    <w:link w:val="1016"/>
    <w:uiPriority w:val="9"/>
    <w:rPr>
      <w:rFonts w:ascii="Arial" w:hAnsi="Arial" w:eastAsia="Arial" w:cs="Arial"/>
      <w:sz w:val="30"/>
      <w:szCs w:val="30"/>
    </w:rPr>
  </w:style>
  <w:style w:type="character" w:styleId="869">
    <w:name w:val="Heading 4 Char"/>
    <w:basedOn w:val="1023"/>
    <w:link w:val="1017"/>
    <w:uiPriority w:val="9"/>
    <w:rPr>
      <w:rFonts w:ascii="Arial" w:hAnsi="Arial" w:eastAsia="Arial" w:cs="Arial"/>
      <w:b/>
      <w:bCs/>
      <w:sz w:val="26"/>
      <w:szCs w:val="26"/>
    </w:rPr>
  </w:style>
  <w:style w:type="character" w:styleId="870">
    <w:name w:val="Heading 5 Char"/>
    <w:basedOn w:val="1023"/>
    <w:link w:val="1018"/>
    <w:uiPriority w:val="9"/>
    <w:rPr>
      <w:rFonts w:ascii="Arial" w:hAnsi="Arial" w:eastAsia="Arial" w:cs="Arial"/>
      <w:b/>
      <w:bCs/>
      <w:sz w:val="24"/>
      <w:szCs w:val="24"/>
    </w:rPr>
  </w:style>
  <w:style w:type="character" w:styleId="871">
    <w:name w:val="Heading 6 Char"/>
    <w:basedOn w:val="1023"/>
    <w:link w:val="1019"/>
    <w:uiPriority w:val="9"/>
    <w:rPr>
      <w:rFonts w:ascii="Arial" w:hAnsi="Arial" w:eastAsia="Arial" w:cs="Arial"/>
      <w:b/>
      <w:bCs/>
      <w:sz w:val="22"/>
      <w:szCs w:val="22"/>
    </w:rPr>
  </w:style>
  <w:style w:type="character" w:styleId="872">
    <w:name w:val="Heading 7 Char"/>
    <w:basedOn w:val="1023"/>
    <w:link w:val="1020"/>
    <w:uiPriority w:val="9"/>
    <w:rPr>
      <w:rFonts w:ascii="Arial" w:hAnsi="Arial" w:eastAsia="Arial" w:cs="Arial"/>
      <w:b/>
      <w:bCs/>
      <w:i/>
      <w:iCs/>
      <w:sz w:val="22"/>
      <w:szCs w:val="22"/>
    </w:rPr>
  </w:style>
  <w:style w:type="character" w:styleId="873">
    <w:name w:val="Heading 8 Char"/>
    <w:basedOn w:val="1023"/>
    <w:link w:val="1021"/>
    <w:uiPriority w:val="9"/>
    <w:rPr>
      <w:rFonts w:ascii="Arial" w:hAnsi="Arial" w:eastAsia="Arial" w:cs="Arial"/>
      <w:i/>
      <w:iCs/>
      <w:sz w:val="22"/>
      <w:szCs w:val="22"/>
    </w:rPr>
  </w:style>
  <w:style w:type="character" w:styleId="874">
    <w:name w:val="Heading 9 Char"/>
    <w:basedOn w:val="1023"/>
    <w:link w:val="1022"/>
    <w:uiPriority w:val="9"/>
    <w:rPr>
      <w:rFonts w:ascii="Arial" w:hAnsi="Arial" w:eastAsia="Arial" w:cs="Arial"/>
      <w:i/>
      <w:iCs/>
      <w:sz w:val="21"/>
      <w:szCs w:val="21"/>
    </w:rPr>
  </w:style>
  <w:style w:type="paragraph" w:styleId="875">
    <w:name w:val="No Spacing"/>
    <w:uiPriority w:val="1"/>
    <w:qFormat/>
    <w:pPr>
      <w:spacing w:before="0" w:after="0" w:line="240" w:lineRule="auto"/>
    </w:pPr>
  </w:style>
  <w:style w:type="character" w:styleId="876">
    <w:name w:val="Title Char"/>
    <w:basedOn w:val="1023"/>
    <w:link w:val="1070"/>
    <w:uiPriority w:val="10"/>
    <w:rPr>
      <w:sz w:val="48"/>
      <w:szCs w:val="48"/>
    </w:rPr>
  </w:style>
  <w:style w:type="character" w:styleId="877">
    <w:name w:val="Subtitle Char"/>
    <w:basedOn w:val="1023"/>
    <w:link w:val="1057"/>
    <w:uiPriority w:val="11"/>
    <w:rPr>
      <w:sz w:val="24"/>
      <w:szCs w:val="24"/>
    </w:rPr>
  </w:style>
  <w:style w:type="character" w:styleId="878">
    <w:name w:val="Quote Char"/>
    <w:link w:val="1091"/>
    <w:uiPriority w:val="29"/>
    <w:rPr>
      <w:i/>
    </w:rPr>
  </w:style>
  <w:style w:type="character" w:styleId="879">
    <w:name w:val="Intense Quote Char"/>
    <w:link w:val="1095"/>
    <w:uiPriority w:val="30"/>
    <w:rPr>
      <w:i/>
    </w:rPr>
  </w:style>
  <w:style w:type="character" w:styleId="880">
    <w:name w:val="Header Char"/>
    <w:basedOn w:val="1023"/>
    <w:link w:val="1055"/>
    <w:uiPriority w:val="99"/>
  </w:style>
  <w:style w:type="character" w:styleId="881">
    <w:name w:val="Footer Char"/>
    <w:basedOn w:val="1023"/>
    <w:link w:val="1054"/>
    <w:uiPriority w:val="99"/>
  </w:style>
  <w:style w:type="character" w:styleId="882">
    <w:name w:val="Caption Char"/>
    <w:basedOn w:val="1031"/>
    <w:link w:val="1054"/>
    <w:uiPriority w:val="99"/>
  </w:style>
  <w:style w:type="table" w:styleId="883">
    <w:name w:val="Table Grid Light"/>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10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10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10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basedOn w:val="10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basedOn w:val="10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basedOn w:val="10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basedOn w:val="10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basedOn w:val="10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basedOn w:val="10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919">
    <w:name w:val="Grid Table 5 Dark - Accent 2"/>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920">
    <w:name w:val="Grid Table 5 Dark - Accent 3"/>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921">
    <w:name w:val="Grid Table 5 Dark- Accent 4"/>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922">
    <w:name w:val="Grid Table 5 Dark - Accent 5"/>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923">
    <w:name w:val="Grid Table 5 Dark - Accent 6"/>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924">
    <w:name w:val="Grid Table 6 Colorful"/>
    <w:basedOn w:val="10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basedOn w:val="10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basedOn w:val="10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basedOn w:val="10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30">
    <w:name w:val="Grid Table 6 Colorful - Accent 6"/>
    <w:basedOn w:val="10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31">
    <w:name w:val="Grid Table 7 Colorful"/>
    <w:basedOn w:val="10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basedOn w:val="10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basedOn w:val="10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basedOn w:val="10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basedOn w:val="10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basedOn w:val="10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basedOn w:val="10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10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basedOn w:val="1024"/>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basedOn w:val="1024"/>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basedOn w:val="1024"/>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basedOn w:val="1024"/>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basedOn w:val="1024"/>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basedOn w:val="1024"/>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basedOn w:val="10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basedOn w:val="10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basedOn w:val="10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basedOn w:val="10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basedOn w:val="10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basedOn w:val="10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basedOn w:val="10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basedOn w:val="10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954">
    <w:name w:val="List Table 3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955">
    <w:name w:val="List Table 3 - Accent 3"/>
    <w:basedOn w:val="10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956">
    <w:name w:val="List Table 3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957">
    <w:name w:val="List Table 3 - Accent 5"/>
    <w:basedOn w:val="10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958">
    <w:name w:val="List Table 3 - Accent 6"/>
    <w:basedOn w:val="10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959">
    <w:name w:val="List Table 4"/>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basedOn w:val="10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961">
    <w:name w:val="List Table 4 - Accent 2"/>
    <w:basedOn w:val="10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962">
    <w:name w:val="List Table 4 - Accent 3"/>
    <w:basedOn w:val="10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963">
    <w:name w:val="List Table 4 - Accent 4"/>
    <w:basedOn w:val="10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964">
    <w:name w:val="List Table 4 - Accent 5"/>
    <w:basedOn w:val="10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965">
    <w:name w:val="List Table 4 - Accent 6"/>
    <w:basedOn w:val="10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966">
    <w:name w:val="List Table 5 Dark"/>
    <w:basedOn w:val="10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basedOn w:val="10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basedOn w:val="10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basedOn w:val="10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basedOn w:val="10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basedOn w:val="10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basedOn w:val="10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basedOn w:val="10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basedOn w:val="10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975">
    <w:name w:val="List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976">
    <w:name w:val="List Table 6 Colorful - Accent 3"/>
    <w:basedOn w:val="10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977">
    <w:name w:val="List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978">
    <w:name w:val="List Table 6 Colorful - Accent 5"/>
    <w:basedOn w:val="10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979">
    <w:name w:val="List Table 6 Colorful - Accent 6"/>
    <w:basedOn w:val="10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980">
    <w:name w:val="List Table 7 Colorful"/>
    <w:basedOn w:val="10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basedOn w:val="10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982">
    <w:name w:val="List Table 7 Colorful - Accent 2"/>
    <w:basedOn w:val="10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983">
    <w:name w:val="List Table 7 Colorful - Accent 3"/>
    <w:basedOn w:val="10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984">
    <w:name w:val="List Table 7 Colorful - Accent 4"/>
    <w:basedOn w:val="10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985">
    <w:name w:val="List Table 7 Colorful - Accent 5"/>
    <w:basedOn w:val="10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986">
    <w:name w:val="List Table 7 Colorful - Accent 6"/>
    <w:basedOn w:val="10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987">
    <w:name w:val="Lined - Accent"/>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989">
    <w:name w:val="Lined - Accent 2"/>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990">
    <w:name w:val="Lined - Accent 3"/>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991">
    <w:name w:val="Lined - Accent 4"/>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992">
    <w:name w:val="Lined - Accent 5"/>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993">
    <w:name w:val="Lined - Accent 6"/>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994">
    <w:name w:val="Bordered &amp; Lined - Accent"/>
    <w:basedOn w:val="10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basedOn w:val="10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996">
    <w:name w:val="Bordered &amp; Lined - Accent 2"/>
    <w:basedOn w:val="10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997">
    <w:name w:val="Bordered &amp; Lined - Accent 3"/>
    <w:basedOn w:val="10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998">
    <w:name w:val="Bordered &amp; Lined - Accent 4"/>
    <w:basedOn w:val="10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999">
    <w:name w:val="Bordered &amp; Lined - Accent 5"/>
    <w:basedOn w:val="10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000">
    <w:name w:val="Bordered &amp; Lined - Accent 6"/>
    <w:basedOn w:val="10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001">
    <w:name w:val="Bordered"/>
    <w:basedOn w:val="10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Footnote Text Char"/>
    <w:link w:val="1060"/>
    <w:uiPriority w:val="99"/>
    <w:rPr>
      <w:sz w:val="18"/>
    </w:rPr>
  </w:style>
  <w:style w:type="character" w:styleId="1009">
    <w:name w:val="Endnote Text Char"/>
    <w:link w:val="1051"/>
    <w:uiPriority w:val="99"/>
    <w:rPr>
      <w:sz w:val="20"/>
    </w:rPr>
  </w:style>
  <w:style w:type="character" w:styleId="1010">
    <w:name w:val="endnote reference"/>
    <w:basedOn w:val="1023"/>
    <w:uiPriority w:val="99"/>
    <w:semiHidden/>
    <w:unhideWhenUsed/>
    <w:rPr>
      <w:vertAlign w:val="superscript"/>
    </w:r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25"/>
    <w:uiPriority w:val="0"/>
    <w:qFormat/>
    <w:pPr>
      <w:ind w:left="1024"/>
      <w:jc w:val="both"/>
    </w:pPr>
    <w:rPr>
      <w:rFonts w:ascii="Calibri" w:hAnsi="Calibri" w:eastAsia="宋体" w:cs="宋体"/>
      <w:lang w:val="en-US" w:eastAsia="zh-CN" w:bidi="ar-SA"/>
    </w:rPr>
  </w:style>
  <w:style w:type="paragraph" w:styleId="1014">
    <w:name w:val="Heading 1"/>
    <w:basedOn w:val="1013"/>
    <w:next w:val="1013"/>
    <w:link w:val="1080"/>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1015">
    <w:name w:val="Heading 2"/>
    <w:basedOn w:val="1013"/>
    <w:next w:val="1013"/>
    <w:link w:val="1081"/>
    <w:uiPriority w:val="0"/>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1016">
    <w:name w:val="Heading 3"/>
    <w:basedOn w:val="1013"/>
    <w:next w:val="1013"/>
    <w:link w:val="1082"/>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1017">
    <w:name w:val="Heading 4"/>
    <w:basedOn w:val="1013"/>
    <w:next w:val="1013"/>
    <w:link w:val="1083"/>
    <w:uiPriority w:val="0"/>
    <w:unhideWhenUsed/>
    <w:qFormat/>
    <w:pPr>
      <w:keepLines/>
      <w:keepNext/>
      <w:spacing w:before="80" w:after="40"/>
      <w:outlineLvl w:val="3"/>
    </w:pPr>
    <w:rPr>
      <w:rFonts w:cstheme="majorBidi"/>
      <w:color w:val="104862" w:themeColor="accent1" w:themeShade="BF"/>
      <w:sz w:val="28"/>
      <w:szCs w:val="28"/>
    </w:rPr>
  </w:style>
  <w:style w:type="paragraph" w:styleId="1018">
    <w:name w:val="Heading 5"/>
    <w:basedOn w:val="1013"/>
    <w:next w:val="1013"/>
    <w:link w:val="1084"/>
    <w:uiPriority w:val="0"/>
    <w:unhideWhenUsed/>
    <w:qFormat/>
    <w:pPr>
      <w:keepLines/>
      <w:keepNext/>
      <w:spacing w:before="80" w:after="40"/>
      <w:outlineLvl w:val="4"/>
    </w:pPr>
    <w:rPr>
      <w:rFonts w:cstheme="majorBidi"/>
      <w:color w:val="104862" w:themeColor="accent1" w:themeShade="BF"/>
      <w:sz w:val="24"/>
    </w:rPr>
  </w:style>
  <w:style w:type="paragraph" w:styleId="1019">
    <w:name w:val="Heading 6"/>
    <w:basedOn w:val="1013"/>
    <w:next w:val="1013"/>
    <w:link w:val="1085"/>
    <w:uiPriority w:val="0"/>
    <w:unhideWhenUsed/>
    <w:qFormat/>
    <w:pPr>
      <w:keepLines/>
      <w:keepNext/>
      <w:spacing w:before="40"/>
      <w:outlineLvl w:val="5"/>
    </w:pPr>
    <w:rPr>
      <w:rFonts w:cstheme="majorBidi"/>
      <w:b/>
      <w:bCs/>
      <w:color w:val="104862" w:themeColor="accent1" w:themeShade="BF"/>
    </w:rPr>
  </w:style>
  <w:style w:type="paragraph" w:styleId="1020">
    <w:name w:val="Heading 7"/>
    <w:basedOn w:val="1013"/>
    <w:next w:val="1013"/>
    <w:link w:val="1086"/>
    <w:uiPriority w:val="0"/>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21">
    <w:name w:val="Heading 8"/>
    <w:basedOn w:val="1013"/>
    <w:next w:val="1013"/>
    <w:link w:val="1087"/>
    <w:uiPriority w:val="0"/>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1022">
    <w:name w:val="Heading 9"/>
    <w:basedOn w:val="1013"/>
    <w:next w:val="1013"/>
    <w:link w:val="1088"/>
    <w:uiPriority w:val="0"/>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1023" w:default="1">
    <w:name w:val="Default Paragraph Font"/>
    <w:uiPriority w:val="1"/>
    <w:semiHidden/>
    <w:unhideWhenUsed/>
  </w:style>
  <w:style w:type="table" w:styleId="1024" w:default="1">
    <w:name w:val="Normal Table"/>
    <w:uiPriority w:val="99"/>
    <w:semiHidden/>
    <w:unhideWhenUsed/>
    <w:tblPr>
      <w:tblCellMar>
        <w:left w:w="108" w:type="dxa"/>
        <w:top w:w="0" w:type="dxa"/>
        <w:right w:w="108" w:type="dxa"/>
        <w:bottom w:w="0" w:type="dxa"/>
      </w:tblCellMar>
    </w:tblPr>
  </w:style>
  <w:style w:type="paragraph" w:styleId="1025">
    <w:name w:val="Body Text Indent"/>
    <w:basedOn w:val="1013"/>
    <w:next w:val="1013"/>
    <w:link w:val="1100"/>
    <w:uiPriority w:val="0"/>
    <w:qFormat/>
    <w:pPr>
      <w:ind w:left="420" w:firstLine="1188"/>
      <w:spacing w:line="360" w:lineRule="exact"/>
    </w:pPr>
    <w:rPr>
      <w:rFonts w:ascii="Times New Roman" w:hAnsi="Times New Roman" w:cs="Times New Roman"/>
    </w:rPr>
  </w:style>
  <w:style w:type="paragraph" w:styleId="1026">
    <w:name w:val="toc 7"/>
    <w:basedOn w:val="1014"/>
    <w:next w:val="1013"/>
    <w:uiPriority w:val="0"/>
    <w:qFormat/>
    <w:pPr>
      <w:ind w:left="1640" w:firstLine="3784"/>
      <w:keepLines w:val="0"/>
      <w:keepNext w:val="0"/>
      <w:spacing w:before="0" w:after="0" w:line="360" w:lineRule="auto"/>
    </w:pPr>
    <w:rPr>
      <w:rFonts w:ascii="Times New Roman" w:hAnsi="Times New Roman" w:eastAsia="宋体" w:cs="Times New Roman"/>
      <w:color w:val="auto"/>
      <w:sz w:val="20"/>
      <w:szCs w:val="20"/>
    </w:rPr>
  </w:style>
  <w:style w:type="paragraph" w:styleId="1027">
    <w:name w:val="List Bullet 4"/>
    <w:basedOn w:val="1014"/>
    <w:next w:val="1028"/>
    <w:uiPriority w:val="0"/>
    <w:qFormat/>
    <w:pPr>
      <w:ind w:left="1620" w:firstLine="2652"/>
      <w:keepLines w:val="0"/>
      <w:keepNext w:val="0"/>
      <w:spacing w:before="0" w:after="0" w:line="360" w:lineRule="auto"/>
    </w:pPr>
    <w:rPr>
      <w:rFonts w:ascii="Times New Roman" w:hAnsi="Times New Roman" w:eastAsia="宋体" w:cs="Times New Roman"/>
      <w:color w:val="auto"/>
      <w:sz w:val="20"/>
      <w:szCs w:val="20"/>
    </w:rPr>
  </w:style>
  <w:style w:type="paragraph" w:styleId="1028">
    <w:name w:val="List Bullet 2"/>
    <w:basedOn w:val="1014"/>
    <w:next w:val="1013"/>
    <w:uiPriority w:val="0"/>
    <w:qFormat/>
    <w:pPr>
      <w:ind w:left="900" w:firstLine="2652"/>
      <w:keepLines w:val="0"/>
      <w:keepNext w:val="0"/>
      <w:spacing w:before="0" w:after="0" w:line="360" w:lineRule="auto"/>
    </w:pPr>
    <w:rPr>
      <w:rFonts w:ascii="Times New Roman" w:hAnsi="Times New Roman" w:eastAsia="宋体" w:cs="Times New Roman"/>
      <w:color w:val="auto"/>
      <w:sz w:val="20"/>
      <w:szCs w:val="20"/>
    </w:rPr>
  </w:style>
  <w:style w:type="paragraph" w:styleId="1029">
    <w:name w:val="List Number"/>
    <w:basedOn w:val="1014"/>
    <w:next w:val="1013"/>
    <w:uiPriority w:val="0"/>
    <w:qFormat/>
    <w:pPr>
      <w:ind w:left="454" w:firstLine="2788"/>
      <w:keepLines w:val="0"/>
      <w:keepNext w:val="0"/>
      <w:spacing w:before="0" w:after="0"/>
    </w:pPr>
    <w:rPr>
      <w:rFonts w:ascii="Times New Roman" w:hAnsi="Times New Roman" w:eastAsia="宋体" w:cs="Times New Roman"/>
      <w:color w:val="auto"/>
      <w:sz w:val="20"/>
      <w:szCs w:val="20"/>
    </w:rPr>
  </w:style>
  <w:style w:type="paragraph" w:styleId="1030">
    <w:name w:val="Normal Indent"/>
    <w:basedOn w:val="1013"/>
    <w:next w:val="1013"/>
    <w:link w:val="1119"/>
    <w:uiPriority w:val="0"/>
    <w:qFormat/>
    <w:pPr>
      <w:ind w:left="420" w:firstLine="4772"/>
    </w:pPr>
  </w:style>
  <w:style w:type="paragraph" w:styleId="1031">
    <w:name w:val="Caption"/>
    <w:basedOn w:val="1014"/>
    <w:next w:val="1013"/>
    <w:uiPriority w:val="0"/>
    <w:qFormat/>
    <w:pPr>
      <w:ind w:left="200" w:firstLine="2248"/>
      <w:jc w:val="center"/>
      <w:keepLines w:val="0"/>
      <w:keepNext w:val="0"/>
      <w:spacing w:before="0" w:after="0"/>
    </w:pPr>
    <w:rPr>
      <w:rFonts w:ascii="Times New Roman" w:hAnsi="Times New Roman" w:eastAsia="宋体" w:cs="Times New Roman"/>
      <w:color w:val="auto"/>
      <w:sz w:val="20"/>
      <w:szCs w:val="20"/>
    </w:rPr>
  </w:style>
  <w:style w:type="paragraph" w:styleId="1032">
    <w:name w:val="List Bullet"/>
    <w:basedOn w:val="1014"/>
    <w:next w:val="1013"/>
    <w:uiPriority w:val="0"/>
    <w:qFormat/>
    <w:pPr>
      <w:ind w:left="900" w:firstLine="2652"/>
      <w:keepLines w:val="0"/>
      <w:keepNext w:val="0"/>
      <w:spacing w:before="0" w:after="0" w:line="360" w:lineRule="auto"/>
    </w:pPr>
    <w:rPr>
      <w:rFonts w:ascii="Times New Roman" w:hAnsi="Times New Roman" w:eastAsia="宋体" w:cs="Times New Roman"/>
      <w:color w:val="auto"/>
      <w:sz w:val="20"/>
      <w:szCs w:val="20"/>
    </w:rPr>
  </w:style>
  <w:style w:type="paragraph" w:styleId="1033">
    <w:name w:val="Document Map"/>
    <w:basedOn w:val="1014"/>
    <w:next w:val="1034"/>
    <w:link w:val="1102"/>
    <w:uiPriority w:val="0"/>
    <w:qFormat/>
    <w:pPr>
      <w:ind w:firstLine="4"/>
      <w:keepLines w:val="0"/>
      <w:keepNext w:val="0"/>
      <w:spacing w:before="0" w:after="0"/>
      <w:shd w:val="clear" w:color="000000" w:fill="000080"/>
    </w:pPr>
    <w:rPr>
      <w:rFonts w:ascii="Times New Roman" w:hAnsi="Times New Roman" w:eastAsia="宋体" w:cs="Times New Roman"/>
      <w:color w:val="auto"/>
      <w:sz w:val="20"/>
      <w:szCs w:val="20"/>
    </w:rPr>
  </w:style>
  <w:style w:type="paragraph" w:styleId="1034">
    <w:name w:val="annotation subject"/>
    <w:next w:val="1013"/>
    <w:link w:val="1104"/>
    <w:uiPriority w:val="0"/>
    <w:qFormat/>
    <w:pPr>
      <w:ind w:firstLine="4608"/>
      <w:spacing w:line="360" w:lineRule="auto"/>
    </w:pPr>
    <w:rPr>
      <w:rFonts w:ascii="Calibri" w:hAnsi="Calibri" w:eastAsia="宋体" w:cs="宋体"/>
      <w:lang w:val="en-US" w:eastAsia="zh-CN" w:bidi="ar-SA"/>
    </w:rPr>
  </w:style>
  <w:style w:type="paragraph" w:styleId="1035">
    <w:name w:val="annotation text"/>
    <w:basedOn w:val="1014"/>
    <w:next w:val="1013"/>
    <w:link w:val="1103"/>
    <w:uiPriority w:val="0"/>
    <w:unhideWhenUsed/>
    <w:qFormat/>
    <w:pPr>
      <w:jc w:val="left"/>
    </w:pPr>
  </w:style>
  <w:style w:type="paragraph" w:styleId="1036">
    <w:name w:val="Body Text 3"/>
    <w:basedOn w:val="1014"/>
    <w:next w:val="1013"/>
    <w:link w:val="1105"/>
    <w:uiPriority w:val="0"/>
    <w:qFormat/>
    <w:pPr>
      <w:ind w:firstLine="2048"/>
      <w:keepLines w:val="0"/>
      <w:keepNext w:val="0"/>
      <w:spacing w:before="0" w:after="0" w:line="500" w:lineRule="exact"/>
    </w:pPr>
    <w:rPr>
      <w:rFonts w:ascii="Times New Roman" w:hAnsi="Times New Roman" w:eastAsia="宋体" w:cs="Times New Roman"/>
      <w:color w:val="auto"/>
      <w:sz w:val="20"/>
      <w:szCs w:val="20"/>
    </w:rPr>
  </w:style>
  <w:style w:type="paragraph" w:styleId="1037">
    <w:name w:val="List Bullet 3"/>
    <w:basedOn w:val="1014"/>
    <w:next w:val="1013"/>
    <w:uiPriority w:val="0"/>
    <w:qFormat/>
    <w:pPr>
      <w:ind w:left="900" w:firstLine="2652"/>
      <w:keepLines w:val="0"/>
      <w:keepNext w:val="0"/>
      <w:spacing w:before="0" w:after="0" w:line="360" w:lineRule="auto"/>
    </w:pPr>
    <w:rPr>
      <w:rFonts w:ascii="Times New Roman" w:hAnsi="Times New Roman" w:eastAsia="宋体" w:cs="Times New Roman"/>
      <w:color w:val="auto"/>
      <w:sz w:val="20"/>
      <w:szCs w:val="20"/>
    </w:rPr>
  </w:style>
  <w:style w:type="paragraph" w:styleId="1038">
    <w:name w:val="Body Text"/>
    <w:basedOn w:val="1013"/>
    <w:next w:val="1013"/>
    <w:link w:val="1106"/>
    <w:uiPriority w:val="0"/>
    <w:qFormat/>
    <w:pPr>
      <w:ind w:left="0" w:firstLine="2560"/>
    </w:pPr>
    <w:rPr>
      <w:rFonts w:ascii="Times New Roman" w:hAnsi="Times New Roman" w:cs="Times New Roman"/>
    </w:rPr>
  </w:style>
  <w:style w:type="paragraph" w:styleId="1039">
    <w:name w:val="List Number 3"/>
    <w:basedOn w:val="1014"/>
    <w:next w:val="1013"/>
    <w:uiPriority w:val="0"/>
    <w:qFormat/>
    <w:pPr>
      <w:ind w:left="420" w:firstLine="3584"/>
      <w:keepLines w:val="0"/>
      <w:keepNext w:val="0"/>
      <w:spacing w:before="0" w:after="0"/>
    </w:pPr>
    <w:rPr>
      <w:rFonts w:ascii="Times New Roman" w:hAnsi="Times New Roman" w:eastAsia="宋体" w:cs="Times New Roman"/>
      <w:color w:val="auto"/>
      <w:sz w:val="20"/>
      <w:szCs w:val="20"/>
    </w:rPr>
  </w:style>
  <w:style w:type="paragraph" w:styleId="1040">
    <w:name w:val="List 2"/>
    <w:basedOn w:val="1014"/>
    <w:next w:val="1026"/>
    <w:uiPriority w:val="0"/>
    <w:qFormat/>
    <w:pPr>
      <w:ind w:left="100" w:firstLine="3640"/>
      <w:keepLines w:val="0"/>
      <w:keepNext w:val="0"/>
      <w:spacing w:before="0" w:after="0"/>
    </w:pPr>
    <w:rPr>
      <w:rFonts w:ascii="Times New Roman" w:hAnsi="Times New Roman" w:eastAsia="宋体" w:cs="Times New Roman"/>
      <w:color w:val="auto"/>
      <w:sz w:val="20"/>
      <w:szCs w:val="20"/>
    </w:rPr>
  </w:style>
  <w:style w:type="paragraph" w:styleId="1041">
    <w:name w:val="Block Text"/>
    <w:basedOn w:val="1014"/>
    <w:next w:val="1013"/>
    <w:uiPriority w:val="0"/>
    <w:qFormat/>
    <w:pPr>
      <w:ind w:left="420" w:right="33" w:firstLine="2560"/>
      <w:keepLines w:val="0"/>
      <w:keepNext w:val="0"/>
      <w:spacing w:before="0" w:after="0"/>
    </w:pPr>
    <w:rPr>
      <w:rFonts w:ascii="Times New Roman" w:hAnsi="Times New Roman" w:eastAsia="宋体" w:cs="Times New Roman"/>
      <w:color w:val="auto"/>
      <w:sz w:val="20"/>
      <w:szCs w:val="20"/>
    </w:rPr>
  </w:style>
  <w:style w:type="paragraph" w:styleId="1042">
    <w:name w:val="toc 5"/>
    <w:basedOn w:val="1014"/>
    <w:next w:val="1013"/>
    <w:uiPriority w:val="0"/>
    <w:qFormat/>
    <w:pPr>
      <w:ind w:left="1160" w:firstLine="3784"/>
      <w:keepLines w:val="0"/>
      <w:keepNext w:val="0"/>
      <w:spacing w:before="0" w:after="0" w:line="360" w:lineRule="auto"/>
    </w:pPr>
    <w:rPr>
      <w:rFonts w:ascii="Times New Roman" w:hAnsi="Times New Roman" w:eastAsia="宋体" w:cs="Times New Roman"/>
      <w:color w:val="auto"/>
      <w:sz w:val="20"/>
      <w:szCs w:val="20"/>
    </w:rPr>
  </w:style>
  <w:style w:type="paragraph" w:styleId="1043">
    <w:name w:val="toc 3"/>
    <w:basedOn w:val="1014"/>
    <w:next w:val="1013"/>
    <w:uiPriority w:val="0"/>
    <w:qFormat/>
    <w:pPr>
      <w:ind w:firstLine="1024"/>
      <w:keepLines w:val="0"/>
      <w:keepNext w:val="0"/>
      <w:spacing w:before="0" w:after="0" w:line="360" w:lineRule="auto"/>
    </w:pPr>
    <w:rPr>
      <w:rFonts w:ascii="Times New Roman" w:hAnsi="Times New Roman" w:eastAsia="宋体" w:cs="Times New Roman"/>
      <w:color w:val="auto"/>
      <w:sz w:val="20"/>
      <w:szCs w:val="20"/>
    </w:rPr>
  </w:style>
  <w:style w:type="paragraph" w:styleId="1044">
    <w:name w:val="Plain Text"/>
    <w:basedOn w:val="1014"/>
    <w:next w:val="1045"/>
    <w:link w:val="1107"/>
    <w:uiPriority w:val="0"/>
    <w:qFormat/>
    <w:pPr>
      <w:ind w:firstLine="2048"/>
      <w:keepLines w:val="0"/>
      <w:keepNext w:val="0"/>
      <w:spacing w:before="0" w:after="0"/>
    </w:pPr>
    <w:rPr>
      <w:rFonts w:ascii="Times New Roman" w:hAnsi="Times New Roman" w:eastAsia="宋体" w:cs="Times New Roman"/>
      <w:color w:val="auto"/>
      <w:sz w:val="20"/>
      <w:szCs w:val="20"/>
    </w:rPr>
  </w:style>
  <w:style w:type="paragraph" w:styleId="1045">
    <w:name w:val="toc 1"/>
    <w:basedOn w:val="1014"/>
    <w:next w:val="1013"/>
    <w:uiPriority w:val="39"/>
    <w:qFormat/>
    <w:pPr>
      <w:ind w:firstLine="4608"/>
      <w:keepLines w:val="0"/>
      <w:keepNext w:val="0"/>
      <w:spacing w:before="0" w:after="0"/>
    </w:pPr>
    <w:rPr>
      <w:rFonts w:ascii="Times New Roman" w:hAnsi="Times New Roman" w:eastAsia="宋体" w:cs="Times New Roman"/>
      <w:color w:val="auto"/>
      <w:sz w:val="20"/>
      <w:szCs w:val="20"/>
    </w:rPr>
  </w:style>
  <w:style w:type="paragraph" w:styleId="1046">
    <w:name w:val="List Bullet 5"/>
    <w:basedOn w:val="1014"/>
    <w:next w:val="1047"/>
    <w:uiPriority w:val="0"/>
    <w:qFormat/>
    <w:pPr>
      <w:ind w:left="2040" w:firstLine="2560"/>
      <w:keepLines w:val="0"/>
      <w:keepNext w:val="0"/>
      <w:spacing w:before="0" w:after="0" w:line="360" w:lineRule="auto"/>
    </w:pPr>
    <w:rPr>
      <w:rFonts w:ascii="Times New Roman" w:hAnsi="Times New Roman" w:eastAsia="宋体" w:cs="Times New Roman"/>
      <w:color w:val="auto"/>
      <w:sz w:val="20"/>
      <w:szCs w:val="20"/>
    </w:rPr>
  </w:style>
  <w:style w:type="paragraph" w:styleId="1047" w:customStyle="1">
    <w:name w:val="正文首行缩进1"/>
    <w:next w:val="1039"/>
    <w:uiPriority w:val="0"/>
    <w:qFormat/>
    <w:pPr>
      <w:ind w:left="420" w:firstLine="2724"/>
      <w:spacing w:after="120" w:line="360" w:lineRule="auto"/>
    </w:pPr>
    <w:rPr>
      <w:rFonts w:ascii="Calibri" w:hAnsi="Calibri" w:eastAsia="宋体" w:cs="宋体"/>
      <w:lang w:val="en-US" w:eastAsia="zh-CN" w:bidi="ar-SA"/>
    </w:rPr>
  </w:style>
  <w:style w:type="paragraph" w:styleId="1048">
    <w:name w:val="toc 8"/>
    <w:basedOn w:val="1014"/>
    <w:next w:val="1013"/>
    <w:uiPriority w:val="0"/>
    <w:qFormat/>
    <w:pPr>
      <w:ind w:left="1880" w:firstLine="3784"/>
      <w:keepLines w:val="0"/>
      <w:keepNext w:val="0"/>
      <w:spacing w:before="0" w:after="0" w:line="360" w:lineRule="auto"/>
    </w:pPr>
    <w:rPr>
      <w:rFonts w:ascii="Times New Roman" w:hAnsi="Times New Roman" w:eastAsia="宋体" w:cs="Times New Roman"/>
      <w:color w:val="auto"/>
      <w:sz w:val="20"/>
      <w:szCs w:val="20"/>
    </w:rPr>
  </w:style>
  <w:style w:type="paragraph" w:styleId="1049">
    <w:name w:val="Date"/>
    <w:basedOn w:val="1014"/>
    <w:next w:val="1013"/>
    <w:link w:val="1108"/>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050">
    <w:name w:val="Body Text Indent 2"/>
    <w:basedOn w:val="1014"/>
    <w:next w:val="1025"/>
    <w:link w:val="1109"/>
    <w:uiPriority w:val="0"/>
    <w:qFormat/>
    <w:pPr>
      <w:ind w:left="481" w:firstLine="2784"/>
      <w:keepLines w:val="0"/>
      <w:keepNext w:val="0"/>
      <w:spacing w:before="0" w:after="0" w:line="400" w:lineRule="exact"/>
    </w:pPr>
    <w:rPr>
      <w:rFonts w:ascii="Times New Roman" w:hAnsi="Times New Roman" w:eastAsia="宋体" w:cs="Times New Roman"/>
      <w:color w:val="auto"/>
      <w:sz w:val="20"/>
      <w:szCs w:val="20"/>
    </w:rPr>
  </w:style>
  <w:style w:type="paragraph" w:styleId="1051">
    <w:name w:val="endnote text"/>
    <w:basedOn w:val="1014"/>
    <w:next w:val="1052"/>
    <w:link w:val="1110"/>
    <w:uiPriority w:val="0"/>
    <w:qFormat/>
    <w:pPr>
      <w:ind w:firstLine="2560"/>
      <w:keepLines w:val="0"/>
      <w:keepNext w:val="0"/>
      <w:spacing w:before="0" w:after="0" w:line="360" w:lineRule="auto"/>
    </w:pPr>
    <w:rPr>
      <w:rFonts w:ascii="Times New Roman" w:hAnsi="Times New Roman" w:eastAsia="宋体" w:cs="Times New Roman"/>
      <w:color w:val="auto"/>
      <w:sz w:val="20"/>
      <w:szCs w:val="20"/>
    </w:rPr>
  </w:style>
  <w:style w:type="paragraph" w:styleId="1052" w:customStyle="1">
    <w:name w:val="Char11"/>
    <w:basedOn w:val="1014"/>
    <w:next w:val="1013"/>
    <w:uiPriority w:val="0"/>
    <w:qFormat/>
    <w:pPr>
      <w:ind w:firstLine="3584"/>
      <w:keepLines w:val="0"/>
      <w:keepNext w:val="0"/>
      <w:spacing w:before="0" w:after="0"/>
    </w:pPr>
    <w:rPr>
      <w:rFonts w:ascii="Times New Roman" w:hAnsi="Times New Roman" w:eastAsia="宋体" w:cs="Times New Roman"/>
      <w:color w:val="auto"/>
      <w:sz w:val="20"/>
      <w:szCs w:val="20"/>
    </w:rPr>
  </w:style>
  <w:style w:type="paragraph" w:styleId="1053">
    <w:name w:val="Balloon Text"/>
    <w:basedOn w:val="1014"/>
    <w:next w:val="1029"/>
    <w:link w:val="1111"/>
    <w:uiPriority w:val="0"/>
    <w:qFormat/>
    <w:pPr>
      <w:ind w:firstLine="2048"/>
      <w:keepLines w:val="0"/>
      <w:keepNext w:val="0"/>
      <w:spacing w:before="0" w:after="0"/>
    </w:pPr>
    <w:rPr>
      <w:rFonts w:ascii="Times New Roman" w:hAnsi="Times New Roman" w:eastAsia="宋体" w:cs="Times New Roman"/>
      <w:color w:val="auto"/>
      <w:sz w:val="20"/>
      <w:szCs w:val="20"/>
    </w:rPr>
  </w:style>
  <w:style w:type="paragraph" w:styleId="1054">
    <w:name w:val="Footer"/>
    <w:basedOn w:val="1013"/>
    <w:link w:val="1099"/>
    <w:uiPriority w:val="0"/>
    <w:unhideWhenUsed/>
    <w:qFormat/>
    <w:pPr>
      <w:tabs>
        <w:tab w:val="center" w:pos="4153" w:leader="none"/>
        <w:tab w:val="right" w:pos="8306" w:leader="none"/>
      </w:tabs>
    </w:pPr>
    <w:rPr>
      <w:sz w:val="18"/>
      <w:szCs w:val="18"/>
    </w:rPr>
  </w:style>
  <w:style w:type="paragraph" w:styleId="1055">
    <w:name w:val="Header"/>
    <w:basedOn w:val="1013"/>
    <w:link w:val="1098"/>
    <w:uiPriority w:val="0"/>
    <w:unhideWhenUsed/>
    <w:qFormat/>
    <w:pPr>
      <w:jc w:val="center"/>
      <w:tabs>
        <w:tab w:val="center" w:pos="4153" w:leader="none"/>
        <w:tab w:val="right" w:pos="8306" w:leader="none"/>
      </w:tabs>
    </w:pPr>
    <w:rPr>
      <w:sz w:val="18"/>
      <w:szCs w:val="18"/>
    </w:rPr>
  </w:style>
  <w:style w:type="paragraph" w:styleId="1056">
    <w:name w:val="toc 4"/>
    <w:basedOn w:val="1014"/>
    <w:next w:val="1013"/>
    <w:uiPriority w:val="0"/>
    <w:qFormat/>
    <w:pPr>
      <w:ind w:left="1260" w:firstLine="1024"/>
      <w:keepLines w:val="0"/>
      <w:keepNext w:val="0"/>
      <w:spacing w:before="0" w:after="0"/>
    </w:pPr>
    <w:rPr>
      <w:rFonts w:ascii="Times New Roman" w:hAnsi="Times New Roman" w:eastAsia="宋体" w:cs="Times New Roman"/>
      <w:color w:val="auto"/>
      <w:sz w:val="20"/>
      <w:szCs w:val="20"/>
    </w:rPr>
  </w:style>
  <w:style w:type="paragraph" w:styleId="1057">
    <w:name w:val="Subtitle"/>
    <w:basedOn w:val="1013"/>
    <w:next w:val="1013"/>
    <w:link w:val="1090"/>
    <w:uiPriority w:val="0"/>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058">
    <w:name w:val="List"/>
    <w:basedOn w:val="1014"/>
    <w:next w:val="1059"/>
    <w:uiPriority w:val="0"/>
    <w:qFormat/>
    <w:pPr>
      <w:ind w:left="200" w:firstLine="3640"/>
      <w:keepLines w:val="0"/>
      <w:keepNext w:val="0"/>
      <w:spacing w:before="0" w:after="0"/>
    </w:pPr>
    <w:rPr>
      <w:rFonts w:ascii="Times New Roman" w:hAnsi="Times New Roman" w:eastAsia="宋体" w:cs="Times New Roman"/>
      <w:color w:val="auto"/>
      <w:sz w:val="20"/>
      <w:szCs w:val="20"/>
    </w:rPr>
  </w:style>
  <w:style w:type="paragraph" w:styleId="1059">
    <w:name w:val="Body Text First Indent"/>
    <w:next w:val="1013"/>
    <w:link w:val="1113"/>
    <w:uiPriority w:val="0"/>
    <w:qFormat/>
    <w:pPr>
      <w:ind w:left="420" w:firstLine="3748"/>
      <w:spacing w:after="120"/>
    </w:pPr>
    <w:rPr>
      <w:rFonts w:ascii="Calibri" w:hAnsi="Calibri" w:eastAsia="宋体" w:cs="宋体"/>
      <w:lang w:val="en-US" w:eastAsia="zh-CN" w:bidi="ar-SA"/>
    </w:rPr>
  </w:style>
  <w:style w:type="paragraph" w:styleId="1060">
    <w:name w:val="footnote text"/>
    <w:basedOn w:val="1014"/>
    <w:next w:val="1041"/>
    <w:link w:val="1114"/>
    <w:uiPriority w:val="0"/>
    <w:qFormat/>
    <w:pPr>
      <w:ind w:firstLine="3584"/>
      <w:keepLines w:val="0"/>
      <w:keepNext w:val="0"/>
      <w:spacing w:before="0" w:after="0" w:line="360" w:lineRule="auto"/>
    </w:pPr>
    <w:rPr>
      <w:rFonts w:ascii="Times New Roman" w:hAnsi="Times New Roman" w:eastAsia="宋体" w:cs="Times New Roman"/>
      <w:color w:val="auto"/>
      <w:sz w:val="20"/>
      <w:szCs w:val="20"/>
    </w:rPr>
  </w:style>
  <w:style w:type="paragraph" w:styleId="1061">
    <w:name w:val="toc 6"/>
    <w:basedOn w:val="1014"/>
    <w:next w:val="1013"/>
    <w:uiPriority w:val="0"/>
    <w:qFormat/>
    <w:pPr>
      <w:ind w:left="1400" w:firstLine="3784"/>
      <w:keepLines w:val="0"/>
      <w:keepNext w:val="0"/>
      <w:spacing w:before="0" w:after="0" w:line="360" w:lineRule="auto"/>
    </w:pPr>
    <w:rPr>
      <w:rFonts w:ascii="Times New Roman" w:hAnsi="Times New Roman" w:eastAsia="宋体" w:cs="Times New Roman"/>
      <w:color w:val="auto"/>
      <w:sz w:val="20"/>
      <w:szCs w:val="20"/>
    </w:rPr>
  </w:style>
  <w:style w:type="paragraph" w:styleId="1062">
    <w:name w:val="List 5"/>
    <w:basedOn w:val="1014"/>
    <w:next w:val="1038"/>
    <w:uiPriority w:val="0"/>
    <w:qFormat/>
    <w:pPr>
      <w:ind w:left="2100" w:firstLine="3676"/>
      <w:keepLines w:val="0"/>
      <w:keepNext w:val="0"/>
      <w:spacing w:before="0" w:after="0"/>
    </w:pPr>
    <w:rPr>
      <w:rFonts w:ascii="Times New Roman" w:hAnsi="Times New Roman" w:eastAsia="宋体" w:cs="Times New Roman"/>
      <w:color w:val="auto"/>
      <w:sz w:val="20"/>
      <w:szCs w:val="20"/>
    </w:rPr>
  </w:style>
  <w:style w:type="paragraph" w:styleId="1063">
    <w:name w:val="Body Text Indent 3"/>
    <w:basedOn w:val="1014"/>
    <w:next w:val="1061"/>
    <w:link w:val="1115"/>
    <w:uiPriority w:val="0"/>
    <w:qFormat/>
    <w:pPr>
      <w:ind w:left="480" w:firstLine="2784"/>
      <w:keepLines w:val="0"/>
      <w:keepNext w:val="0"/>
      <w:spacing w:before="0" w:after="0" w:line="400" w:lineRule="exact"/>
    </w:pPr>
    <w:rPr>
      <w:rFonts w:ascii="Times New Roman" w:hAnsi="Times New Roman" w:eastAsia="宋体" w:cs="Times New Roman"/>
      <w:color w:val="auto"/>
      <w:sz w:val="20"/>
      <w:szCs w:val="20"/>
    </w:rPr>
  </w:style>
  <w:style w:type="paragraph" w:styleId="1064">
    <w:name w:val="toc 2"/>
    <w:basedOn w:val="1014"/>
    <w:next w:val="1013"/>
    <w:uiPriority w:val="0"/>
    <w:qFormat/>
    <w:pPr>
      <w:ind w:firstLine="1024"/>
      <w:keepLines w:val="0"/>
      <w:keepNext w:val="0"/>
      <w:spacing w:before="0" w:after="0" w:line="360" w:lineRule="auto"/>
    </w:pPr>
    <w:rPr>
      <w:rFonts w:ascii="Times New Roman" w:hAnsi="Times New Roman" w:eastAsia="宋体" w:cs="Times New Roman"/>
      <w:color w:val="auto"/>
      <w:sz w:val="20"/>
      <w:szCs w:val="20"/>
    </w:rPr>
  </w:style>
  <w:style w:type="paragraph" w:styleId="1065">
    <w:name w:val="toc 9"/>
    <w:basedOn w:val="1014"/>
    <w:next w:val="1013"/>
    <w:uiPriority w:val="0"/>
    <w:qFormat/>
    <w:pPr>
      <w:ind w:left="2120" w:firstLine="3784"/>
      <w:keepLines w:val="0"/>
      <w:keepNext w:val="0"/>
      <w:spacing w:before="0" w:after="0" w:line="360" w:lineRule="auto"/>
    </w:pPr>
    <w:rPr>
      <w:rFonts w:ascii="Times New Roman" w:hAnsi="Times New Roman" w:eastAsia="宋体" w:cs="Times New Roman"/>
      <w:color w:val="auto"/>
      <w:sz w:val="20"/>
      <w:szCs w:val="20"/>
    </w:rPr>
  </w:style>
  <w:style w:type="paragraph" w:styleId="1066">
    <w:name w:val="Body Text 2"/>
    <w:basedOn w:val="1014"/>
    <w:next w:val="1032"/>
    <w:link w:val="1116"/>
    <w:uiPriority w:val="0"/>
    <w:qFormat/>
    <w:pPr>
      <w:ind w:firstLine="1024"/>
      <w:keepLines w:val="0"/>
      <w:keepNext w:val="0"/>
      <w:spacing w:before="0" w:after="120" w:line="480" w:lineRule="auto"/>
    </w:pPr>
    <w:rPr>
      <w:rFonts w:ascii="Times New Roman" w:hAnsi="Times New Roman" w:eastAsia="宋体" w:cs="Times New Roman"/>
      <w:color w:val="auto"/>
      <w:sz w:val="20"/>
      <w:szCs w:val="20"/>
    </w:rPr>
  </w:style>
  <w:style w:type="paragraph" w:styleId="1067">
    <w:name w:val="HTML Preformatted"/>
    <w:basedOn w:val="1014"/>
    <w:next w:val="1031"/>
    <w:link w:val="1117"/>
    <w:uiPriority w:val="0"/>
    <w:qFormat/>
    <w:pPr>
      <w:ind w:firstLine="2048"/>
      <w:keepLines w:val="0"/>
      <w:keepNext w:val="0"/>
      <w:spacing w:before="0" w:after="0" w:line="253" w:lineRule="atLeast"/>
    </w:pPr>
    <w:rPr>
      <w:rFonts w:ascii="Times New Roman" w:hAnsi="Times New Roman" w:eastAsia="宋体" w:cs="Times New Roman"/>
      <w:color w:val="auto"/>
      <w:sz w:val="20"/>
      <w:szCs w:val="20"/>
    </w:rPr>
  </w:style>
  <w:style w:type="paragraph" w:styleId="1068">
    <w:name w:val="Normal (Web)"/>
    <w:basedOn w:val="1013"/>
    <w:next w:val="1040"/>
    <w:uiPriority w:val="0"/>
    <w:qFormat/>
    <w:pPr>
      <w:ind w:left="15" w:right="15" w:firstLine="4608"/>
      <w:spacing w:before="60" w:after="60" w:line="312" w:lineRule="auto"/>
    </w:pPr>
    <w:rPr>
      <w:rFonts w:ascii="Times New Roman" w:hAnsi="Times New Roman" w:cs="Times New Roman"/>
    </w:rPr>
  </w:style>
  <w:style w:type="paragraph" w:styleId="1069">
    <w:name w:val="index 1"/>
    <w:basedOn w:val="1014"/>
    <w:next w:val="1013"/>
    <w:uiPriority w:val="0"/>
    <w:qFormat/>
    <w:pPr>
      <w:ind w:firstLine="3584"/>
      <w:keepLines w:val="0"/>
      <w:keepNext w:val="0"/>
      <w:spacing w:before="0" w:after="0"/>
    </w:pPr>
    <w:rPr>
      <w:rFonts w:ascii="Times New Roman" w:hAnsi="Times New Roman" w:eastAsia="宋体" w:cs="Times New Roman"/>
      <w:color w:val="auto"/>
      <w:sz w:val="20"/>
      <w:szCs w:val="20"/>
    </w:rPr>
  </w:style>
  <w:style w:type="paragraph" w:styleId="1070">
    <w:name w:val="Title"/>
    <w:basedOn w:val="1013"/>
    <w:next w:val="1013"/>
    <w:link w:val="1089"/>
    <w:uiPriority w:val="10"/>
    <w:qFormat/>
    <w:pPr>
      <w:contextualSpacing/>
      <w:jc w:val="center"/>
      <w:spacing w:after="80"/>
    </w:pPr>
    <w:rPr>
      <w:rFonts w:asciiTheme="majorHAnsi" w:hAnsiTheme="majorHAnsi" w:eastAsiaTheme="majorEastAsia" w:cstheme="majorBidi"/>
      <w:spacing w:val="-10"/>
      <w:sz w:val="56"/>
      <w:szCs w:val="56"/>
    </w:rPr>
  </w:style>
  <w:style w:type="paragraph" w:styleId="1071">
    <w:name w:val="Body Text First Indent 2"/>
    <w:basedOn w:val="1025"/>
    <w:link w:val="1118"/>
    <w:uiPriority w:val="0"/>
    <w:unhideWhenUsed/>
    <w:qFormat/>
    <w:pPr>
      <w:ind w:firstLine="420"/>
    </w:pPr>
  </w:style>
  <w:style w:type="table" w:styleId="1072">
    <w:name w:val="Table Grid"/>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3">
    <w:name w:val="Strong"/>
    <w:uiPriority w:val="0"/>
    <w:qFormat/>
    <w:rPr>
      <w:rFonts w:ascii="Times New Roman" w:hAnsi="Times New Roman" w:eastAsia="宋体" w:cs="Times New Roman"/>
      <w:b/>
      <w:sz w:val="20"/>
    </w:rPr>
  </w:style>
  <w:style w:type="character" w:styleId="1074">
    <w:name w:val="page number"/>
    <w:uiPriority w:val="0"/>
    <w:qFormat/>
    <w:rPr>
      <w:rFonts w:ascii="Times New Roman" w:hAnsi="Times New Roman" w:eastAsia="宋体" w:cs="Times New Roman"/>
      <w:sz w:val="20"/>
    </w:rPr>
  </w:style>
  <w:style w:type="character" w:styleId="1075">
    <w:name w:val="FollowedHyperlink"/>
    <w:uiPriority w:val="0"/>
    <w:qFormat/>
    <w:rPr>
      <w:rFonts w:ascii="Times New Roman" w:hAnsi="Times New Roman" w:eastAsia="宋体" w:cs="Times New Roman"/>
      <w:color w:val="800080"/>
      <w:sz w:val="20"/>
      <w:u w:val="single"/>
    </w:rPr>
  </w:style>
  <w:style w:type="character" w:styleId="1076">
    <w:name w:val="Emphasis"/>
    <w:uiPriority w:val="0"/>
    <w:qFormat/>
    <w:rPr>
      <w:rFonts w:ascii="Times New Roman" w:hAnsi="Times New Roman" w:eastAsia="宋体" w:cs="Times New Roman"/>
      <w:i/>
      <w:sz w:val="21"/>
    </w:rPr>
  </w:style>
  <w:style w:type="character" w:styleId="1077">
    <w:name w:val="Hyperlink"/>
    <w:uiPriority w:val="99"/>
    <w:qFormat/>
    <w:rPr>
      <w:rFonts w:ascii="Times New Roman" w:hAnsi="Times New Roman" w:eastAsia="宋体" w:cs="Times New Roman"/>
      <w:color w:val="0000ff"/>
      <w:sz w:val="20"/>
      <w:u w:val="single"/>
    </w:rPr>
  </w:style>
  <w:style w:type="character" w:styleId="1078">
    <w:name w:val="annotation reference"/>
    <w:uiPriority w:val="0"/>
    <w:qFormat/>
    <w:rPr>
      <w:rFonts w:ascii="Times New Roman" w:hAnsi="Times New Roman" w:eastAsia="宋体" w:cs="Times New Roman"/>
      <w:sz w:val="20"/>
    </w:rPr>
  </w:style>
  <w:style w:type="character" w:styleId="1079">
    <w:name w:val="footnote reference"/>
    <w:uiPriority w:val="0"/>
    <w:qFormat/>
    <w:rPr>
      <w:rFonts w:ascii="Times New Roman" w:hAnsi="Times New Roman" w:eastAsia="宋体" w:cs="Times New Roman"/>
      <w:vertAlign w:val="superscript"/>
    </w:rPr>
  </w:style>
  <w:style w:type="character" w:styleId="1080" w:customStyle="1">
    <w:name w:val="标题 1 字符"/>
    <w:basedOn w:val="1023"/>
    <w:link w:val="1014"/>
    <w:uiPriority w:val="9"/>
    <w:qFormat/>
    <w:rPr>
      <w:rFonts w:asciiTheme="majorHAnsi" w:hAnsiTheme="majorHAnsi" w:eastAsiaTheme="majorEastAsia" w:cstheme="majorBidi"/>
      <w:color w:val="104862" w:themeColor="accent1" w:themeShade="BF"/>
      <w:sz w:val="48"/>
      <w:szCs w:val="48"/>
    </w:rPr>
  </w:style>
  <w:style w:type="character" w:styleId="1081" w:customStyle="1">
    <w:name w:val="标题 2 字符"/>
    <w:basedOn w:val="1023"/>
    <w:link w:val="1015"/>
    <w:uiPriority w:val="9"/>
    <w:semiHidden/>
    <w:qFormat/>
    <w:rPr>
      <w:rFonts w:asciiTheme="majorHAnsi" w:hAnsiTheme="majorHAnsi" w:eastAsiaTheme="majorEastAsia" w:cstheme="majorBidi"/>
      <w:color w:val="104862" w:themeColor="accent1" w:themeShade="BF"/>
      <w:sz w:val="40"/>
      <w:szCs w:val="40"/>
    </w:rPr>
  </w:style>
  <w:style w:type="character" w:styleId="1082" w:customStyle="1">
    <w:name w:val="标题 3 字符"/>
    <w:basedOn w:val="1023"/>
    <w:link w:val="1016"/>
    <w:uiPriority w:val="9"/>
    <w:semiHidden/>
    <w:qFormat/>
    <w:rPr>
      <w:rFonts w:asciiTheme="majorHAnsi" w:hAnsiTheme="majorHAnsi" w:eastAsiaTheme="majorEastAsia" w:cstheme="majorBidi"/>
      <w:color w:val="104862" w:themeColor="accent1" w:themeShade="BF"/>
      <w:sz w:val="32"/>
      <w:szCs w:val="32"/>
    </w:rPr>
  </w:style>
  <w:style w:type="character" w:styleId="1083" w:customStyle="1">
    <w:name w:val="标题 4 字符"/>
    <w:basedOn w:val="1023"/>
    <w:link w:val="1017"/>
    <w:uiPriority w:val="9"/>
    <w:semiHidden/>
    <w:qFormat/>
    <w:rPr>
      <w:rFonts w:cstheme="majorBidi"/>
      <w:color w:val="104862" w:themeColor="accent1" w:themeShade="BF"/>
      <w:sz w:val="28"/>
      <w:szCs w:val="28"/>
    </w:rPr>
  </w:style>
  <w:style w:type="character" w:styleId="1084" w:customStyle="1">
    <w:name w:val="标题 5 字符"/>
    <w:basedOn w:val="1023"/>
    <w:link w:val="1018"/>
    <w:uiPriority w:val="9"/>
    <w:semiHidden/>
    <w:qFormat/>
    <w:rPr>
      <w:rFonts w:cstheme="majorBidi"/>
      <w:color w:val="104862" w:themeColor="accent1" w:themeShade="BF"/>
      <w:sz w:val="24"/>
    </w:rPr>
  </w:style>
  <w:style w:type="character" w:styleId="1085" w:customStyle="1">
    <w:name w:val="标题 6 字符"/>
    <w:basedOn w:val="1023"/>
    <w:link w:val="1019"/>
    <w:uiPriority w:val="9"/>
    <w:semiHidden/>
    <w:qFormat/>
    <w:rPr>
      <w:rFonts w:cstheme="majorBidi"/>
      <w:b/>
      <w:bCs/>
      <w:color w:val="104862" w:themeColor="accent1" w:themeShade="BF"/>
    </w:rPr>
  </w:style>
  <w:style w:type="character" w:styleId="1086" w:customStyle="1">
    <w:name w:val="标题 7 字符"/>
    <w:basedOn w:val="1023"/>
    <w:link w:val="1020"/>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1087" w:customStyle="1">
    <w:name w:val="标题 8 字符"/>
    <w:basedOn w:val="1023"/>
    <w:link w:val="1021"/>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1088" w:customStyle="1">
    <w:name w:val="标题 9 字符"/>
    <w:basedOn w:val="1023"/>
    <w:link w:val="1022"/>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1089" w:customStyle="1">
    <w:name w:val="标题 字符"/>
    <w:basedOn w:val="1023"/>
    <w:link w:val="1070"/>
    <w:uiPriority w:val="10"/>
    <w:qFormat/>
    <w:rPr>
      <w:rFonts w:asciiTheme="majorHAnsi" w:hAnsiTheme="majorHAnsi" w:eastAsiaTheme="majorEastAsia" w:cstheme="majorBidi"/>
      <w:spacing w:val="-10"/>
      <w:sz w:val="56"/>
      <w:szCs w:val="56"/>
    </w:rPr>
  </w:style>
  <w:style w:type="character" w:styleId="1090" w:customStyle="1">
    <w:name w:val="副标题 字符"/>
    <w:basedOn w:val="1023"/>
    <w:link w:val="1057"/>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091">
    <w:name w:val="Quote"/>
    <w:basedOn w:val="1013"/>
    <w:next w:val="1013"/>
    <w:link w:val="1092"/>
    <w:uiPriority w:val="0"/>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1092" w:customStyle="1">
    <w:name w:val="引用 字符"/>
    <w:basedOn w:val="1023"/>
    <w:link w:val="1091"/>
    <w:uiPriority w:val="29"/>
    <w:qFormat/>
    <w:rPr>
      <w:i/>
      <w:iCs/>
      <w:color w:val="404040" w:themeColor="text1" w:themeTint="BF"/>
      <w14:textFill>
        <w14:solidFill>
          <w14:schemeClr w14:val="tx1">
            <w14:lumMod w14:val="75000"/>
            <w14:lumOff w14:val="25000"/>
          </w14:schemeClr>
        </w14:solidFill>
      </w14:textFill>
    </w:rPr>
  </w:style>
  <w:style w:type="paragraph" w:styleId="1093">
    <w:name w:val="List Paragraph"/>
    <w:basedOn w:val="1013"/>
    <w:uiPriority w:val="0"/>
    <w:qFormat/>
    <w:pPr>
      <w:contextualSpacing/>
      <w:ind w:left="720"/>
    </w:pPr>
  </w:style>
  <w:style w:type="character" w:styleId="1094" w:customStyle="1">
    <w:name w:val="明显强调1"/>
    <w:basedOn w:val="1023"/>
    <w:uiPriority w:val="21"/>
    <w:qFormat/>
    <w:rPr>
      <w:i/>
      <w:iCs/>
      <w:color w:val="104862" w:themeColor="accent1" w:themeShade="BF"/>
    </w:rPr>
  </w:style>
  <w:style w:type="paragraph" w:styleId="1095">
    <w:name w:val="Intense Quote"/>
    <w:basedOn w:val="1013"/>
    <w:next w:val="1013"/>
    <w:link w:val="1096"/>
    <w:uiPriority w:val="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1096" w:customStyle="1">
    <w:name w:val="明显引用 字符"/>
    <w:basedOn w:val="1023"/>
    <w:link w:val="1095"/>
    <w:uiPriority w:val="30"/>
    <w:qFormat/>
    <w:rPr>
      <w:i/>
      <w:iCs/>
      <w:color w:val="104862" w:themeColor="accent1" w:themeShade="BF"/>
    </w:rPr>
  </w:style>
  <w:style w:type="character" w:styleId="1097" w:customStyle="1">
    <w:name w:val="明显参考1"/>
    <w:basedOn w:val="1023"/>
    <w:uiPriority w:val="32"/>
    <w:qFormat/>
    <w:rPr>
      <w:b/>
      <w:bCs/>
      <w:smallCaps/>
      <w:color w:val="104862" w:themeColor="accent1" w:themeShade="BF"/>
      <w:spacing w:val="5"/>
    </w:rPr>
  </w:style>
  <w:style w:type="character" w:styleId="1098" w:customStyle="1">
    <w:name w:val="页眉 字符"/>
    <w:basedOn w:val="1023"/>
    <w:link w:val="1055"/>
    <w:uiPriority w:val="0"/>
    <w:qFormat/>
    <w:rPr>
      <w:sz w:val="18"/>
      <w:szCs w:val="18"/>
    </w:rPr>
  </w:style>
  <w:style w:type="character" w:styleId="1099" w:customStyle="1">
    <w:name w:val="页脚 字符"/>
    <w:basedOn w:val="1023"/>
    <w:link w:val="1054"/>
    <w:uiPriority w:val="0"/>
    <w:qFormat/>
    <w:rPr>
      <w:sz w:val="18"/>
      <w:szCs w:val="18"/>
    </w:rPr>
  </w:style>
  <w:style w:type="character" w:styleId="1100" w:customStyle="1">
    <w:name w:val="正文文本缩进 字符"/>
    <w:basedOn w:val="1023"/>
    <w:link w:val="1025"/>
    <w:uiPriority w:val="0"/>
    <w:qFormat/>
    <w:rPr>
      <w:rFonts w:ascii="Times New Roman" w:hAnsi="Times New Roman" w:eastAsia="宋体" w:cs="Times New Roman"/>
      <w:sz w:val="20"/>
      <w:szCs w:val="20"/>
      <w14:ligatures w14:val="none"/>
    </w:rPr>
  </w:style>
  <w:style w:type="paragraph" w:styleId="1101" w:customStyle="1">
    <w:name w:val="正文2"/>
    <w:basedOn w:val="1013"/>
    <w:next w:val="1013"/>
    <w:uiPriority w:val="0"/>
    <w:qFormat/>
    <w:pPr>
      <w:ind w:left="0" w:hanging="2155"/>
      <w:spacing w:line="360" w:lineRule="auto"/>
      <w:shd w:val="clear" w:color="auto" w:fill="ffffff"/>
    </w:pPr>
    <w:rPr>
      <w:rFonts w:ascii="宋体" w:hAnsi="宋体"/>
    </w:rPr>
  </w:style>
  <w:style w:type="character" w:styleId="1102" w:customStyle="1">
    <w:name w:val="文档结构图 字符"/>
    <w:basedOn w:val="1023"/>
    <w:link w:val="1033"/>
    <w:uiPriority w:val="0"/>
    <w:qFormat/>
    <w:rPr>
      <w:rFonts w:ascii="Times New Roman" w:hAnsi="Times New Roman" w:eastAsia="宋体" w:cs="Times New Roman"/>
      <w:sz w:val="20"/>
      <w:szCs w:val="20"/>
      <w:shd w:val="clear" w:color="000000" w:fill="000080"/>
      <w14:ligatures w14:val="none"/>
    </w:rPr>
  </w:style>
  <w:style w:type="character" w:styleId="1103" w:customStyle="1">
    <w:name w:val="批注文字 字符"/>
    <w:basedOn w:val="1023"/>
    <w:link w:val="1035"/>
    <w:uiPriority w:val="0"/>
    <w:qFormat/>
    <w:rPr>
      <w:rFonts w:ascii="Calibri" w:hAnsi="Calibri" w:eastAsia="宋体" w:cs="宋体"/>
      <w:sz w:val="20"/>
      <w:szCs w:val="20"/>
      <w14:ligatures w14:val="none"/>
    </w:rPr>
  </w:style>
  <w:style w:type="character" w:styleId="1104" w:customStyle="1">
    <w:name w:val="批注主题 字符"/>
    <w:basedOn w:val="1103"/>
    <w:link w:val="1034"/>
    <w:uiPriority w:val="0"/>
    <w:qFormat/>
    <w:rPr>
      <w:rFonts w:ascii="Calibri" w:hAnsi="Calibri" w:eastAsia="宋体" w:cs="宋体"/>
      <w:sz w:val="20"/>
      <w:szCs w:val="20"/>
      <w14:ligatures w14:val="none"/>
    </w:rPr>
  </w:style>
  <w:style w:type="character" w:styleId="1105" w:customStyle="1">
    <w:name w:val="正文文本 3 字符"/>
    <w:basedOn w:val="1023"/>
    <w:link w:val="1036"/>
    <w:uiPriority w:val="0"/>
    <w:qFormat/>
    <w:rPr>
      <w:rFonts w:ascii="Times New Roman" w:hAnsi="Times New Roman" w:eastAsia="宋体" w:cs="Times New Roman"/>
      <w:sz w:val="20"/>
      <w:szCs w:val="20"/>
      <w14:ligatures w14:val="none"/>
    </w:rPr>
  </w:style>
  <w:style w:type="character" w:styleId="1106" w:customStyle="1">
    <w:name w:val="正文文本 字符"/>
    <w:basedOn w:val="1023"/>
    <w:link w:val="1038"/>
    <w:uiPriority w:val="0"/>
    <w:qFormat/>
    <w:rPr>
      <w:rFonts w:ascii="Times New Roman" w:hAnsi="Times New Roman" w:eastAsia="宋体" w:cs="Times New Roman"/>
      <w:sz w:val="20"/>
      <w:szCs w:val="20"/>
      <w14:ligatures w14:val="none"/>
    </w:rPr>
  </w:style>
  <w:style w:type="character" w:styleId="1107" w:customStyle="1">
    <w:name w:val="纯文本 字符"/>
    <w:basedOn w:val="1023"/>
    <w:link w:val="1044"/>
    <w:uiPriority w:val="0"/>
    <w:qFormat/>
    <w:rPr>
      <w:rFonts w:ascii="Times New Roman" w:hAnsi="Times New Roman" w:eastAsia="宋体" w:cs="Times New Roman"/>
      <w:sz w:val="20"/>
      <w:szCs w:val="20"/>
      <w14:ligatures w14:val="none"/>
    </w:rPr>
  </w:style>
  <w:style w:type="character" w:styleId="1108" w:customStyle="1">
    <w:name w:val="日期 字符"/>
    <w:basedOn w:val="1023"/>
    <w:link w:val="1049"/>
    <w:uiPriority w:val="0"/>
    <w:qFormat/>
    <w:rPr>
      <w:rFonts w:ascii="Times New Roman" w:hAnsi="Times New Roman" w:eastAsia="宋体" w:cs="Times New Roman"/>
      <w:sz w:val="20"/>
      <w:szCs w:val="20"/>
      <w14:ligatures w14:val="none"/>
    </w:rPr>
  </w:style>
  <w:style w:type="character" w:styleId="1109" w:customStyle="1">
    <w:name w:val="正文文本缩进 2 字符"/>
    <w:basedOn w:val="1023"/>
    <w:link w:val="1050"/>
    <w:uiPriority w:val="0"/>
    <w:qFormat/>
    <w:rPr>
      <w:rFonts w:ascii="Times New Roman" w:hAnsi="Times New Roman" w:eastAsia="宋体" w:cs="Times New Roman"/>
      <w:sz w:val="20"/>
      <w:szCs w:val="20"/>
      <w14:ligatures w14:val="none"/>
    </w:rPr>
  </w:style>
  <w:style w:type="character" w:styleId="1110" w:customStyle="1">
    <w:name w:val="尾注文本 字符"/>
    <w:basedOn w:val="1023"/>
    <w:link w:val="1051"/>
    <w:uiPriority w:val="0"/>
    <w:qFormat/>
    <w:rPr>
      <w:rFonts w:ascii="Times New Roman" w:hAnsi="Times New Roman" w:eastAsia="宋体" w:cs="Times New Roman"/>
      <w:sz w:val="20"/>
      <w:szCs w:val="20"/>
      <w14:ligatures w14:val="none"/>
    </w:rPr>
  </w:style>
  <w:style w:type="character" w:styleId="1111" w:customStyle="1">
    <w:name w:val="批注框文本 字符"/>
    <w:basedOn w:val="1023"/>
    <w:link w:val="1053"/>
    <w:uiPriority w:val="0"/>
    <w:qFormat/>
    <w:rPr>
      <w:rFonts w:ascii="Times New Roman" w:hAnsi="Times New Roman" w:eastAsia="宋体" w:cs="Times New Roman"/>
      <w:sz w:val="20"/>
      <w:szCs w:val="20"/>
      <w14:ligatures w14:val="none"/>
    </w:rPr>
  </w:style>
  <w:style w:type="paragraph" w:styleId="1112" w:customStyle="1">
    <w:name w:val="Char Char Char Char Char Char Char Char Char Char Char Char Char"/>
    <w:basedOn w:val="1014"/>
    <w:next w:val="1013"/>
    <w:uiPriority w:val="0"/>
    <w:qFormat/>
    <w:pPr>
      <w:ind w:firstLine="3584"/>
      <w:keepLines w:val="0"/>
      <w:keepNext w:val="0"/>
      <w:spacing w:before="0" w:after="160" w:line="240" w:lineRule="exact"/>
    </w:pPr>
    <w:rPr>
      <w:rFonts w:ascii="Times New Roman" w:hAnsi="Times New Roman" w:eastAsia="宋体" w:cs="Times New Roman"/>
      <w:color w:val="auto"/>
      <w:sz w:val="20"/>
      <w:szCs w:val="20"/>
    </w:rPr>
  </w:style>
  <w:style w:type="character" w:styleId="1113" w:customStyle="1">
    <w:name w:val="正文首行缩进 字符"/>
    <w:basedOn w:val="1106"/>
    <w:link w:val="1059"/>
    <w:uiPriority w:val="0"/>
    <w:qFormat/>
    <w:rPr>
      <w:rFonts w:ascii="Calibri" w:hAnsi="Calibri" w:eastAsia="宋体" w:cs="宋体"/>
      <w:sz w:val="20"/>
      <w:szCs w:val="20"/>
      <w14:ligatures w14:val="none"/>
    </w:rPr>
  </w:style>
  <w:style w:type="character" w:styleId="1114" w:customStyle="1">
    <w:name w:val="脚注文本 字符"/>
    <w:basedOn w:val="1023"/>
    <w:link w:val="1060"/>
    <w:uiPriority w:val="0"/>
    <w:qFormat/>
    <w:rPr>
      <w:rFonts w:ascii="Times New Roman" w:hAnsi="Times New Roman" w:eastAsia="宋体" w:cs="Times New Roman"/>
      <w:sz w:val="20"/>
      <w:szCs w:val="20"/>
      <w14:ligatures w14:val="none"/>
    </w:rPr>
  </w:style>
  <w:style w:type="character" w:styleId="1115" w:customStyle="1">
    <w:name w:val="正文文本缩进 3 字符"/>
    <w:basedOn w:val="1023"/>
    <w:link w:val="1063"/>
    <w:uiPriority w:val="0"/>
    <w:qFormat/>
    <w:rPr>
      <w:rFonts w:ascii="Times New Roman" w:hAnsi="Times New Roman" w:eastAsia="宋体" w:cs="Times New Roman"/>
      <w:sz w:val="20"/>
      <w:szCs w:val="20"/>
      <w14:ligatures w14:val="none"/>
    </w:rPr>
  </w:style>
  <w:style w:type="character" w:styleId="1116" w:customStyle="1">
    <w:name w:val="正文文本 2 字符"/>
    <w:basedOn w:val="1023"/>
    <w:link w:val="1066"/>
    <w:uiPriority w:val="0"/>
    <w:qFormat/>
    <w:rPr>
      <w:rFonts w:ascii="Times New Roman" w:hAnsi="Times New Roman" w:eastAsia="宋体" w:cs="Times New Roman"/>
      <w:sz w:val="20"/>
      <w:szCs w:val="20"/>
      <w14:ligatures w14:val="none"/>
    </w:rPr>
  </w:style>
  <w:style w:type="character" w:styleId="1117" w:customStyle="1">
    <w:name w:val="HTML 预设格式 字符"/>
    <w:basedOn w:val="1023"/>
    <w:link w:val="1067"/>
    <w:uiPriority w:val="0"/>
    <w:qFormat/>
    <w:rPr>
      <w:rFonts w:ascii="Times New Roman" w:hAnsi="Times New Roman" w:eastAsia="宋体" w:cs="Times New Roman"/>
      <w:sz w:val="20"/>
      <w:szCs w:val="20"/>
      <w14:ligatures w14:val="none"/>
    </w:rPr>
  </w:style>
  <w:style w:type="character" w:styleId="1118" w:customStyle="1">
    <w:name w:val="正文首行缩进 2 字符"/>
    <w:basedOn w:val="1100"/>
    <w:link w:val="1071"/>
    <w:uiPriority w:val="0"/>
    <w:qFormat/>
    <w:rPr>
      <w:rFonts w:ascii="Times New Roman" w:hAnsi="Times New Roman" w:eastAsia="宋体" w:cs="Times New Roman"/>
      <w:sz w:val="20"/>
      <w:szCs w:val="20"/>
      <w14:ligatures w14:val="none"/>
    </w:rPr>
  </w:style>
  <w:style w:type="character" w:styleId="1119" w:customStyle="1">
    <w:name w:val="正文缩进 字符"/>
    <w:link w:val="1030"/>
    <w:uiPriority w:val="0"/>
    <w:qFormat/>
    <w:rPr>
      <w:rFonts w:ascii="Calibri" w:hAnsi="Calibri" w:eastAsia="宋体" w:cs="宋体"/>
      <w:sz w:val="20"/>
      <w:szCs w:val="20"/>
      <w14:ligatures w14:val="none"/>
    </w:rPr>
  </w:style>
  <w:style w:type="character" w:styleId="1120" w:customStyle="1">
    <w:name w:val="日期 Char"/>
    <w:uiPriority w:val="0"/>
    <w:qFormat/>
    <w:rPr>
      <w:rFonts w:ascii="Times New Roman" w:hAnsi="Times New Roman" w:eastAsia="宋体" w:cs="Times New Roman"/>
      <w:sz w:val="20"/>
    </w:rPr>
  </w:style>
  <w:style w:type="character" w:styleId="1121" w:customStyle="1">
    <w:name w:val="批注引用1"/>
    <w:uiPriority w:val="0"/>
    <w:qFormat/>
    <w:rPr>
      <w:rFonts w:ascii="Times New Roman" w:hAnsi="Times New Roman" w:eastAsia="宋体" w:cs="Times New Roman"/>
      <w:sz w:val="20"/>
    </w:rPr>
  </w:style>
  <w:style w:type="character" w:styleId="1122" w:customStyle="1">
    <w:name w:val="应答文本 Char Char"/>
    <w:uiPriority w:val="0"/>
    <w:qFormat/>
    <w:rPr>
      <w:rFonts w:ascii="Times New Roman" w:hAnsi="Times New Roman" w:eastAsia="宋体" w:cs="Times New Roman"/>
      <w:sz w:val="20"/>
    </w:rPr>
  </w:style>
  <w:style w:type="character" w:styleId="1123" w:customStyle="1">
    <w:name w:val="图片0 Char Char"/>
    <w:uiPriority w:val="0"/>
    <w:qFormat/>
    <w:rPr>
      <w:rFonts w:ascii="Times New Roman" w:hAnsi="Times New Roman" w:eastAsia="宋体" w:cs="Times New Roman"/>
      <w:sz w:val="20"/>
    </w:rPr>
  </w:style>
  <w:style w:type="character" w:styleId="1124" w:customStyle="1">
    <w:name w:val="尾注文本 Char"/>
    <w:uiPriority w:val="0"/>
    <w:qFormat/>
    <w:rPr>
      <w:rFonts w:ascii="Times New Roman" w:hAnsi="Times New Roman" w:eastAsia="宋体" w:cs="Times New Roman"/>
      <w:sz w:val="20"/>
    </w:rPr>
  </w:style>
  <w:style w:type="character" w:styleId="1125" w:customStyle="1">
    <w:name w:val="_Style 337"/>
    <w:uiPriority w:val="0"/>
    <w:qFormat/>
    <w:rPr>
      <w:rFonts w:ascii="Times New Roman" w:hAnsi="Times New Roman" w:eastAsia="宋体" w:cs="Times New Roman"/>
      <w:color w:val="auto"/>
      <w:sz w:val="21"/>
    </w:rPr>
  </w:style>
  <w:style w:type="character" w:styleId="1126" w:customStyle="1">
    <w:name w:val="批注文字 Char1"/>
    <w:uiPriority w:val="0"/>
    <w:qFormat/>
    <w:rPr>
      <w:rFonts w:ascii="Times New Roman" w:hAnsi="Times New Roman" w:eastAsia="宋体" w:cs="Times New Roman"/>
      <w:sz w:val="20"/>
    </w:rPr>
  </w:style>
  <w:style w:type="character" w:styleId="1127" w:customStyle="1">
    <w:name w:val="txt"/>
    <w:uiPriority w:val="0"/>
    <w:qFormat/>
    <w:rPr>
      <w:rFonts w:ascii="Times New Roman" w:hAnsi="Times New Roman" w:eastAsia="宋体" w:cs="Times New Roman"/>
      <w:sz w:val="20"/>
    </w:rPr>
  </w:style>
  <w:style w:type="character" w:styleId="1128" w:customStyle="1">
    <w:name w:val="标书正文 Char"/>
    <w:uiPriority w:val="0"/>
    <w:qFormat/>
    <w:rPr>
      <w:rFonts w:ascii="Times New Roman" w:hAnsi="Times New Roman" w:eastAsia="宋体" w:cs="Times New Roman"/>
      <w:sz w:val="20"/>
    </w:rPr>
  </w:style>
  <w:style w:type="character" w:styleId="1129" w:customStyle="1">
    <w:name w:val="font21"/>
    <w:basedOn w:val="1023"/>
    <w:uiPriority w:val="0"/>
    <w:qFormat/>
    <w:rPr>
      <w:rFonts w:hint="eastAsia" w:ascii="宋体" w:hAnsi="宋体" w:eastAsia="宋体" w:cs="宋体"/>
      <w:color w:val="ff0000"/>
      <w:sz w:val="24"/>
      <w:szCs w:val="24"/>
      <w:u w:val="none"/>
    </w:rPr>
  </w:style>
  <w:style w:type="character" w:styleId="1130" w:customStyle="1">
    <w:name w:val="apple-converted-space"/>
    <w:uiPriority w:val="0"/>
    <w:qFormat/>
    <w:rPr>
      <w:rFonts w:ascii="Times New Roman" w:hAnsi="Times New Roman" w:eastAsia="宋体" w:cs="Times New Roman"/>
      <w:sz w:val="20"/>
    </w:rPr>
  </w:style>
  <w:style w:type="character" w:styleId="1131" w:customStyle="1">
    <w:name w:val="纯文本 Char1"/>
    <w:uiPriority w:val="0"/>
    <w:qFormat/>
    <w:rPr>
      <w:rFonts w:ascii="Times New Roman" w:hAnsi="Times New Roman" w:eastAsia="宋体" w:cs="Times New Roman"/>
      <w:sz w:val="20"/>
    </w:rPr>
  </w:style>
  <w:style w:type="character" w:styleId="1132" w:customStyle="1">
    <w:name w:val="para1"/>
    <w:uiPriority w:val="0"/>
    <w:qFormat/>
    <w:rPr>
      <w:rFonts w:ascii="Times New Roman" w:hAnsi="Times New Roman" w:eastAsia="宋体" w:cs="Times New Roman"/>
      <w:sz w:val="20"/>
    </w:rPr>
  </w:style>
  <w:style w:type="character" w:styleId="1133" w:customStyle="1">
    <w:name w:val="HTML 预设格式 Char1"/>
    <w:uiPriority w:val="0"/>
    <w:qFormat/>
    <w:rPr>
      <w:rFonts w:ascii="Times New Roman" w:hAnsi="Times New Roman" w:eastAsia="宋体" w:cs="Times New Roman"/>
      <w:sz w:val="20"/>
    </w:rPr>
  </w:style>
  <w:style w:type="character" w:styleId="1134" w:customStyle="1">
    <w:name w:val="批注文字 Char"/>
    <w:uiPriority w:val="0"/>
    <w:qFormat/>
    <w:rPr>
      <w:rFonts w:ascii="Times New Roman" w:hAnsi="Times New Roman" w:eastAsia="宋体" w:cs="Times New Roman"/>
      <w:sz w:val="20"/>
    </w:rPr>
  </w:style>
  <w:style w:type="character" w:styleId="1135" w:customStyle="1">
    <w:name w:val="文档结构图 Char"/>
    <w:uiPriority w:val="0"/>
    <w:qFormat/>
    <w:rPr>
      <w:rFonts w:ascii="Times New Roman" w:hAnsi="Times New Roman" w:eastAsia="宋体" w:cs="Times New Roman"/>
      <w:sz w:val="20"/>
    </w:rPr>
  </w:style>
  <w:style w:type="character" w:styleId="1136" w:customStyle="1">
    <w:name w:val="超级链接"/>
    <w:uiPriority w:val="0"/>
    <w:qFormat/>
    <w:rPr>
      <w:rFonts w:ascii="Times New Roman" w:hAnsi="Times New Roman" w:eastAsia="宋体" w:cs="Times New Roman"/>
      <w:color w:val="0000ff"/>
      <w:sz w:val="20"/>
      <w:u w:val="single"/>
    </w:rPr>
  </w:style>
  <w:style w:type="character" w:styleId="1137" w:customStyle="1">
    <w:name w:val="p141"/>
    <w:uiPriority w:val="0"/>
    <w:qFormat/>
    <w:rPr>
      <w:rFonts w:ascii="Times New Roman" w:hAnsi="Times New Roman" w:eastAsia="宋体" w:cs="Times New Roman"/>
      <w:color w:val="000000"/>
      <w:sz w:val="20"/>
      <w:u w:val="none"/>
    </w:rPr>
  </w:style>
  <w:style w:type="character" w:styleId="1138" w:customStyle="1">
    <w:name w:val="宏文本 Char"/>
    <w:uiPriority w:val="0"/>
    <w:qFormat/>
    <w:rPr>
      <w:rFonts w:ascii="Times New Roman" w:hAnsi="Times New Roman" w:eastAsia="宋体" w:cs="Times New Roman"/>
      <w:sz w:val="20"/>
    </w:rPr>
  </w:style>
  <w:style w:type="character" w:styleId="1139" w:customStyle="1">
    <w:name w:val="_Style 313"/>
    <w:uiPriority w:val="0"/>
    <w:qFormat/>
    <w:rPr>
      <w:rFonts w:ascii="Times New Roman" w:hAnsi="Times New Roman" w:eastAsia="宋体" w:cs="Times New Roman"/>
      <w:b/>
      <w:i/>
      <w:sz w:val="21"/>
    </w:rPr>
  </w:style>
  <w:style w:type="character" w:styleId="1140" w:customStyle="1">
    <w:name w:val="页脚 Char1"/>
    <w:uiPriority w:val="0"/>
    <w:qFormat/>
    <w:rPr>
      <w:rFonts w:ascii="Times New Roman" w:hAnsi="Times New Roman" w:eastAsia="宋体" w:cs="Times New Roman"/>
      <w:sz w:val="20"/>
    </w:rPr>
  </w:style>
  <w:style w:type="character" w:styleId="1141" w:customStyle="1">
    <w:name w:val="页眉 Char"/>
    <w:uiPriority w:val="0"/>
    <w:qFormat/>
    <w:rPr>
      <w:rFonts w:ascii="Times New Roman" w:hAnsi="Times New Roman" w:eastAsia="宋体" w:cs="Times New Roman"/>
      <w:sz w:val="20"/>
    </w:rPr>
  </w:style>
  <w:style w:type="character" w:styleId="1142" w:customStyle="1">
    <w:name w:val="标题 7 Char"/>
    <w:uiPriority w:val="0"/>
    <w:qFormat/>
    <w:rPr>
      <w:rFonts w:ascii="Times New Roman" w:hAnsi="Times New Roman" w:eastAsia="宋体" w:cs="Times New Roman"/>
      <w:b/>
      <w:sz w:val="20"/>
    </w:rPr>
  </w:style>
  <w:style w:type="character" w:styleId="1143" w:customStyle="1">
    <w:name w:val="Char Char12"/>
    <w:uiPriority w:val="0"/>
    <w:qFormat/>
    <w:rPr>
      <w:rFonts w:ascii="Times New Roman" w:hAnsi="Times New Roman" w:eastAsia="宋体" w:cs="Times New Roman"/>
      <w:sz w:val="20"/>
    </w:rPr>
  </w:style>
  <w:style w:type="character" w:styleId="1144" w:customStyle="1">
    <w:name w:val="标题 3 Char"/>
    <w:uiPriority w:val="0"/>
    <w:qFormat/>
    <w:rPr>
      <w:rFonts w:ascii="Times New Roman" w:hAnsi="Times New Roman" w:eastAsia="宋体" w:cs="Times New Roman"/>
      <w:b/>
      <w:sz w:val="20"/>
    </w:rPr>
  </w:style>
  <w:style w:type="character" w:styleId="1145" w:customStyle="1">
    <w:name w:val="正文（首行缩进 2 字符） Char Char"/>
    <w:uiPriority w:val="0"/>
    <w:qFormat/>
    <w:rPr>
      <w:rFonts w:ascii="Times New Roman" w:hAnsi="Times New Roman" w:eastAsia="宋体" w:cs="Times New Roman"/>
      <w:sz w:val="20"/>
    </w:rPr>
  </w:style>
  <w:style w:type="character" w:styleId="1146" w:customStyle="1">
    <w:name w:val="表格用 Char Char"/>
    <w:uiPriority w:val="0"/>
    <w:qFormat/>
    <w:rPr>
      <w:rFonts w:ascii="Times New Roman" w:hAnsi="Times New Roman" w:eastAsia="宋体" w:cs="Times New Roman"/>
      <w:sz w:val="20"/>
    </w:rPr>
  </w:style>
  <w:style w:type="character" w:styleId="1147" w:customStyle="1">
    <w:name w:val="正文文本缩进 3 Char1"/>
    <w:uiPriority w:val="0"/>
    <w:qFormat/>
    <w:rPr>
      <w:rFonts w:ascii="Times New Roman" w:hAnsi="Times New Roman" w:eastAsia="宋体" w:cs="Times New Roman"/>
      <w:sz w:val="20"/>
    </w:rPr>
  </w:style>
  <w:style w:type="character" w:styleId="1148" w:customStyle="1">
    <w:name w:val="正文缩进 Char"/>
    <w:uiPriority w:val="0"/>
    <w:qFormat/>
    <w:rPr>
      <w:rFonts w:ascii="Times New Roman" w:hAnsi="Times New Roman" w:eastAsia="宋体" w:cs="Times New Roman"/>
      <w:sz w:val="20"/>
    </w:rPr>
  </w:style>
  <w:style w:type="character" w:styleId="1149" w:customStyle="1">
    <w:name w:val="批注框文本 Char1"/>
    <w:uiPriority w:val="0"/>
    <w:qFormat/>
    <w:rPr>
      <w:rFonts w:ascii="Times New Roman" w:hAnsi="Times New Roman" w:eastAsia="宋体" w:cs="Times New Roman"/>
      <w:sz w:val="20"/>
    </w:rPr>
  </w:style>
  <w:style w:type="character" w:styleId="1150" w:customStyle="1">
    <w:name w:val="Char Char13"/>
    <w:uiPriority w:val="0"/>
    <w:qFormat/>
    <w:rPr>
      <w:rFonts w:ascii="Times New Roman" w:hAnsi="Times New Roman" w:eastAsia="宋体" w:cs="Times New Roman"/>
      <w:sz w:val="20"/>
    </w:rPr>
  </w:style>
  <w:style w:type="character" w:styleId="1151" w:customStyle="1">
    <w:name w:val="样式2 Char"/>
    <w:uiPriority w:val="0"/>
    <w:qFormat/>
    <w:rPr>
      <w:rFonts w:ascii="Times New Roman" w:hAnsi="Times New Roman" w:eastAsia="宋体" w:cs="Times New Roman"/>
      <w:b/>
      <w:sz w:val="20"/>
    </w:rPr>
  </w:style>
  <w:style w:type="character" w:styleId="1152" w:customStyle="1">
    <w:name w:val="页脚 Char"/>
    <w:uiPriority w:val="0"/>
    <w:qFormat/>
    <w:rPr>
      <w:rFonts w:ascii="Times New Roman" w:hAnsi="Times New Roman" w:eastAsia="宋体" w:cs="Times New Roman"/>
      <w:sz w:val="20"/>
    </w:rPr>
  </w:style>
  <w:style w:type="character" w:styleId="1153" w:customStyle="1">
    <w:name w:val="标准文本 Char"/>
    <w:uiPriority w:val="0"/>
    <w:qFormat/>
    <w:rPr>
      <w:rFonts w:ascii="Times New Roman" w:hAnsi="Times New Roman" w:eastAsia="宋体" w:cs="Times New Roman"/>
      <w:sz w:val="20"/>
    </w:rPr>
  </w:style>
  <w:style w:type="character" w:styleId="1154" w:customStyle="1">
    <w:name w:val="font01"/>
    <w:uiPriority w:val="0"/>
    <w:qFormat/>
    <w:rPr>
      <w:rFonts w:hint="eastAsia" w:ascii="宋体" w:hAnsi="宋体" w:eastAsia="宋体" w:cs="宋体"/>
      <w:color w:val="000000"/>
      <w:sz w:val="24"/>
      <w:szCs w:val="24"/>
      <w:u w:val="none"/>
    </w:rPr>
  </w:style>
  <w:style w:type="character" w:styleId="1155" w:customStyle="1">
    <w:name w:val="标题 3 Char1"/>
    <w:uiPriority w:val="0"/>
    <w:qFormat/>
    <w:rPr>
      <w:rFonts w:ascii="Times New Roman" w:hAnsi="Times New Roman" w:eastAsia="宋体" w:cs="Times New Roman"/>
      <w:b/>
      <w:sz w:val="20"/>
      <w:u w:val="single"/>
    </w:rPr>
  </w:style>
  <w:style w:type="character" w:styleId="1156" w:customStyle="1">
    <w:name w:val="表格 Char Char"/>
    <w:uiPriority w:val="0"/>
    <w:qFormat/>
    <w:rPr>
      <w:rFonts w:ascii="Times New Roman" w:hAnsi="Times New Roman" w:eastAsia="宋体" w:cs="Times New Roman"/>
      <w:sz w:val="20"/>
    </w:rPr>
  </w:style>
  <w:style w:type="character" w:styleId="1157" w:customStyle="1">
    <w:name w:val="正文首行缩进 Char"/>
    <w:uiPriority w:val="0"/>
    <w:qFormat/>
    <w:rPr>
      <w:rFonts w:ascii="Times New Roman" w:hAnsi="Times New Roman" w:eastAsia="宋体" w:cs="Times New Roman"/>
      <w:sz w:val="20"/>
    </w:rPr>
  </w:style>
  <w:style w:type="character" w:styleId="1158" w:customStyle="1">
    <w:name w:val="标题 9 Char"/>
    <w:uiPriority w:val="0"/>
    <w:qFormat/>
    <w:rPr>
      <w:rFonts w:ascii="Times New Roman" w:hAnsi="Times New Roman" w:eastAsia="宋体" w:cs="Times New Roman"/>
      <w:sz w:val="20"/>
    </w:rPr>
  </w:style>
  <w:style w:type="character" w:styleId="1159" w:customStyle="1">
    <w:name w:val="lh151"/>
    <w:uiPriority w:val="0"/>
    <w:qFormat/>
    <w:rPr>
      <w:rFonts w:ascii="Times New Roman" w:hAnsi="Times New Roman" w:eastAsia="宋体" w:cs="Times New Roman"/>
      <w:color w:val="666666"/>
      <w:sz w:val="20"/>
    </w:rPr>
  </w:style>
  <w:style w:type="character" w:styleId="1160" w:customStyle="1">
    <w:name w:val="日期 Char1"/>
    <w:uiPriority w:val="0"/>
    <w:qFormat/>
    <w:rPr>
      <w:rFonts w:ascii="Times New Roman" w:hAnsi="Times New Roman" w:eastAsia="宋体" w:cs="Times New Roman"/>
      <w:sz w:val="20"/>
    </w:rPr>
  </w:style>
  <w:style w:type="character" w:styleId="1161" w:customStyle="1">
    <w:name w:val="图片 Char Char"/>
    <w:uiPriority w:val="0"/>
    <w:qFormat/>
    <w:rPr>
      <w:rFonts w:ascii="Times New Roman" w:hAnsi="Times New Roman" w:eastAsia="宋体" w:cs="Times New Roman"/>
      <w:sz w:val="20"/>
    </w:rPr>
  </w:style>
  <w:style w:type="character" w:styleId="1162" w:customStyle="1">
    <w:name w:val="HTML 预设格式 Char"/>
    <w:uiPriority w:val="0"/>
    <w:qFormat/>
    <w:rPr>
      <w:rFonts w:ascii="Times New Roman" w:hAnsi="Times New Roman" w:eastAsia="宋体" w:cs="Times New Roman"/>
      <w:sz w:val="20"/>
    </w:rPr>
  </w:style>
  <w:style w:type="character" w:styleId="1163" w:customStyle="1">
    <w:name w:val="列出段落 Char"/>
    <w:uiPriority w:val="0"/>
    <w:qFormat/>
    <w:rPr>
      <w:rFonts w:ascii="Times New Roman" w:hAnsi="Times New Roman" w:eastAsia="宋体" w:cs="Times New Roman"/>
      <w:sz w:val="20"/>
    </w:rPr>
  </w:style>
  <w:style w:type="character" w:styleId="1164" w:customStyle="1">
    <w:name w:val="标题 5 Char"/>
    <w:uiPriority w:val="0"/>
    <w:qFormat/>
    <w:rPr>
      <w:rFonts w:ascii="Times New Roman" w:hAnsi="Times New Roman" w:eastAsia="宋体" w:cs="Times New Roman"/>
      <w:b/>
      <w:sz w:val="20"/>
    </w:rPr>
  </w:style>
  <w:style w:type="character" w:styleId="1165" w:customStyle="1">
    <w:name w:val="链接"/>
    <w:uiPriority w:val="0"/>
    <w:qFormat/>
    <w:rPr>
      <w:rFonts w:ascii="Times New Roman" w:hAnsi="Times New Roman" w:eastAsia="宋体" w:cs="Times New Roman"/>
      <w:color w:val="0000ff"/>
      <w:sz w:val="20"/>
      <w:u w:val="single"/>
    </w:rPr>
  </w:style>
  <w:style w:type="character" w:styleId="1166" w:customStyle="1">
    <w:name w:val="18h1"/>
    <w:uiPriority w:val="0"/>
    <w:qFormat/>
    <w:rPr>
      <w:rFonts w:ascii="Times New Roman" w:hAnsi="Times New Roman" w:eastAsia="宋体" w:cs="Times New Roman"/>
      <w:color w:val="3b3b3b"/>
      <w:sz w:val="20"/>
    </w:rPr>
  </w:style>
  <w:style w:type="character" w:styleId="1167" w:customStyle="1">
    <w:name w:val="表格文字（两侧对齐） Char Char"/>
    <w:uiPriority w:val="0"/>
    <w:qFormat/>
    <w:rPr>
      <w:rFonts w:ascii="Times New Roman" w:hAnsi="Times New Roman" w:eastAsia="宋体" w:cs="Times New Roman"/>
      <w:sz w:val="20"/>
    </w:rPr>
  </w:style>
  <w:style w:type="character" w:styleId="1168" w:customStyle="1">
    <w:name w:val="正文文本缩进 2 Char"/>
    <w:uiPriority w:val="0"/>
    <w:qFormat/>
    <w:rPr>
      <w:rFonts w:ascii="Times New Roman" w:hAnsi="Times New Roman" w:eastAsia="宋体" w:cs="Times New Roman"/>
      <w:sz w:val="20"/>
    </w:rPr>
  </w:style>
  <w:style w:type="character" w:styleId="1169" w:customStyle="1">
    <w:name w:val="Char Char14"/>
    <w:uiPriority w:val="0"/>
    <w:qFormat/>
    <w:rPr>
      <w:rFonts w:ascii="Times New Roman" w:hAnsi="Times New Roman" w:eastAsia="宋体" w:cs="Times New Roman"/>
      <w:sz w:val="20"/>
    </w:rPr>
  </w:style>
  <w:style w:type="character" w:styleId="1170" w:customStyle="1">
    <w:name w:val="标题 1 Char1"/>
    <w:uiPriority w:val="0"/>
    <w:qFormat/>
    <w:rPr>
      <w:rFonts w:ascii="Times New Roman" w:hAnsi="Times New Roman" w:eastAsia="宋体" w:cs="Times New Roman"/>
      <w:b/>
      <w:sz w:val="20"/>
    </w:rPr>
  </w:style>
  <w:style w:type="character" w:styleId="1171" w:customStyle="1">
    <w:name w:val="批注框文本 Char"/>
    <w:uiPriority w:val="0"/>
    <w:qFormat/>
    <w:rPr>
      <w:rFonts w:ascii="Times New Roman" w:hAnsi="Times New Roman" w:eastAsia="宋体" w:cs="Times New Roman"/>
      <w:sz w:val="20"/>
    </w:rPr>
  </w:style>
  <w:style w:type="character" w:styleId="1172" w:customStyle="1">
    <w:name w:val="apple-style-span"/>
    <w:uiPriority w:val="0"/>
    <w:qFormat/>
    <w:rPr>
      <w:rFonts w:ascii="Times New Roman" w:hAnsi="Times New Roman" w:eastAsia="宋体" w:cs="Times New Roman"/>
      <w:sz w:val="20"/>
    </w:rPr>
  </w:style>
  <w:style w:type="character" w:styleId="1173" w:customStyle="1">
    <w:name w:val="插图 Char Char"/>
    <w:uiPriority w:val="0"/>
    <w:qFormat/>
    <w:rPr>
      <w:rFonts w:ascii="Times New Roman" w:hAnsi="Times New Roman" w:eastAsia="宋体" w:cs="Times New Roman"/>
      <w:sz w:val="20"/>
    </w:rPr>
  </w:style>
  <w:style w:type="character" w:styleId="1174" w:customStyle="1">
    <w:name w:val="标题 2 Char1"/>
    <w:uiPriority w:val="0"/>
    <w:qFormat/>
    <w:rPr>
      <w:rFonts w:ascii="Times New Roman" w:hAnsi="Times New Roman" w:eastAsia="宋体" w:cs="Times New Roman"/>
      <w:b/>
      <w:sz w:val="20"/>
    </w:rPr>
  </w:style>
  <w:style w:type="character" w:styleId="1175" w:customStyle="1">
    <w:name w:val="_Style 332"/>
    <w:uiPriority w:val="0"/>
    <w:qFormat/>
    <w:rPr>
      <w:rFonts w:ascii="Times New Roman" w:hAnsi="Times New Roman" w:eastAsia="宋体" w:cs="Times New Roman"/>
      <w:i/>
      <w:color w:val="auto"/>
      <w:sz w:val="21"/>
    </w:rPr>
  </w:style>
  <w:style w:type="character" w:styleId="1176" w:customStyle="1">
    <w:name w:val="正文文本 3 Char1"/>
    <w:uiPriority w:val="0"/>
    <w:qFormat/>
    <w:rPr>
      <w:rFonts w:ascii="Times New Roman" w:hAnsi="Times New Roman" w:eastAsia="宋体" w:cs="Times New Roman"/>
      <w:sz w:val="20"/>
    </w:rPr>
  </w:style>
  <w:style w:type="character" w:styleId="1177" w:customStyle="1">
    <w:name w:val="标题 5 Char1"/>
    <w:uiPriority w:val="0"/>
    <w:qFormat/>
    <w:rPr>
      <w:rFonts w:ascii="Times New Roman" w:hAnsi="Times New Roman" w:eastAsia="宋体" w:cs="Times New Roman"/>
      <w:b/>
      <w:sz w:val="20"/>
    </w:rPr>
  </w:style>
  <w:style w:type="character" w:styleId="1178" w:customStyle="1">
    <w:name w:val="批注主题 Char"/>
    <w:uiPriority w:val="0"/>
    <w:qFormat/>
    <w:rPr>
      <w:rFonts w:ascii="Times New Roman" w:hAnsi="Times New Roman" w:eastAsia="宋体" w:cs="Times New Roman"/>
      <w:b/>
      <w:sz w:val="20"/>
    </w:rPr>
  </w:style>
  <w:style w:type="character" w:styleId="1179" w:customStyle="1">
    <w:name w:val="标题 1 Char"/>
    <w:uiPriority w:val="0"/>
    <w:qFormat/>
    <w:rPr>
      <w:rFonts w:ascii="Times New Roman" w:hAnsi="Times New Roman" w:eastAsia="宋体" w:cs="Times New Roman"/>
      <w:b/>
      <w:sz w:val="20"/>
    </w:rPr>
  </w:style>
  <w:style w:type="character" w:styleId="1180" w:customStyle="1">
    <w:name w:val="正文文本 2 Char1"/>
    <w:uiPriority w:val="0"/>
    <w:qFormat/>
    <w:rPr>
      <w:rFonts w:ascii="Times New Roman" w:hAnsi="Times New Roman" w:eastAsia="宋体" w:cs="Times New Roman"/>
      <w:sz w:val="20"/>
    </w:rPr>
  </w:style>
  <w:style w:type="character" w:styleId="1181" w:customStyle="1">
    <w:name w:val="标题 4 Char1"/>
    <w:uiPriority w:val="0"/>
    <w:qFormat/>
    <w:rPr>
      <w:rFonts w:ascii="Times New Roman" w:hAnsi="Times New Roman" w:eastAsia="宋体" w:cs="Times New Roman"/>
      <w:b/>
      <w:sz w:val="20"/>
    </w:rPr>
  </w:style>
  <w:style w:type="character" w:styleId="1182" w:customStyle="1">
    <w:name w:val="正文文本 2 Char"/>
    <w:uiPriority w:val="0"/>
    <w:qFormat/>
    <w:rPr>
      <w:rFonts w:ascii="Times New Roman" w:hAnsi="Times New Roman" w:eastAsia="宋体" w:cs="Times New Roman"/>
      <w:sz w:val="20"/>
    </w:rPr>
  </w:style>
  <w:style w:type="character" w:styleId="1183" w:customStyle="1">
    <w:name w:val="_Style 376"/>
    <w:uiPriority w:val="0"/>
    <w:qFormat/>
    <w:rPr>
      <w:rFonts w:ascii="Times New Roman" w:hAnsi="Times New Roman" w:eastAsia="宋体" w:cs="Times New Roman"/>
      <w:b/>
      <w:color w:val="auto"/>
      <w:sz w:val="21"/>
    </w:rPr>
  </w:style>
  <w:style w:type="character" w:styleId="1184" w:customStyle="1">
    <w:name w:val="062"/>
    <w:uiPriority w:val="0"/>
    <w:qFormat/>
    <w:rPr>
      <w:rFonts w:ascii="Times New Roman" w:hAnsi="Times New Roman" w:eastAsia="宋体" w:cs="Times New Roman"/>
      <w:b/>
      <w:sz w:val="20"/>
    </w:rPr>
  </w:style>
  <w:style w:type="character" w:styleId="1185" w:customStyle="1">
    <w:name w:val="正文文本 Char1"/>
    <w:uiPriority w:val="0"/>
    <w:qFormat/>
    <w:rPr>
      <w:rFonts w:ascii="Times New Roman" w:hAnsi="Times New Roman" w:eastAsia="宋体" w:cs="Times New Roman"/>
      <w:sz w:val="20"/>
    </w:rPr>
  </w:style>
  <w:style w:type="character" w:styleId="1186" w:customStyle="1">
    <w:name w:val="题注 Char"/>
    <w:uiPriority w:val="0"/>
    <w:qFormat/>
    <w:rPr>
      <w:rFonts w:ascii="Times New Roman" w:hAnsi="Times New Roman" w:eastAsia="宋体" w:cs="Times New Roman"/>
      <w:sz w:val="20"/>
    </w:rPr>
  </w:style>
  <w:style w:type="character" w:styleId="1187" w:customStyle="1">
    <w:name w:val="脚注文本 Char"/>
    <w:uiPriority w:val="0"/>
    <w:qFormat/>
    <w:rPr>
      <w:rFonts w:ascii="Times New Roman" w:hAnsi="Times New Roman" w:eastAsia="宋体" w:cs="Times New Roman"/>
      <w:sz w:val="20"/>
    </w:rPr>
  </w:style>
  <w:style w:type="character" w:styleId="1188" w:customStyle="1">
    <w:name w:val="_Style 336"/>
    <w:uiPriority w:val="0"/>
    <w:qFormat/>
    <w:rPr>
      <w:rFonts w:ascii="Times New Roman" w:hAnsi="Times New Roman" w:eastAsia="宋体" w:cs="Times New Roman"/>
      <w:i/>
      <w:color w:val="auto"/>
      <w:sz w:val="21"/>
    </w:rPr>
  </w:style>
  <w:style w:type="character" w:styleId="1189" w:customStyle="1">
    <w:name w:val="表格 Char"/>
    <w:uiPriority w:val="0"/>
    <w:qFormat/>
    <w:rPr>
      <w:rFonts w:ascii="Times New Roman" w:hAnsi="Times New Roman" w:eastAsia="宋体" w:cs="Times New Roman"/>
      <w:color w:val="000000"/>
      <w:sz w:val="20"/>
    </w:rPr>
  </w:style>
  <w:style w:type="character" w:styleId="1190" w:customStyle="1">
    <w:name w:val="图注 Char Char"/>
    <w:uiPriority w:val="0"/>
    <w:qFormat/>
    <w:rPr>
      <w:rFonts w:ascii="Times New Roman" w:hAnsi="Times New Roman" w:eastAsia="宋体" w:cs="Times New Roman"/>
      <w:sz w:val="20"/>
    </w:rPr>
  </w:style>
  <w:style w:type="character" w:styleId="1191" w:customStyle="1">
    <w:name w:val="页码1"/>
    <w:uiPriority w:val="0"/>
    <w:qFormat/>
    <w:rPr>
      <w:rFonts w:ascii="Times New Roman" w:hAnsi="Times New Roman" w:eastAsia="宋体" w:cs="Times New Roman"/>
      <w:sz w:val="20"/>
    </w:rPr>
  </w:style>
  <w:style w:type="character" w:styleId="1192" w:customStyle="1">
    <w:name w:val="列表框1 Char Char"/>
    <w:uiPriority w:val="0"/>
    <w:qFormat/>
    <w:rPr>
      <w:rFonts w:ascii="Times New Roman" w:hAnsi="Times New Roman" w:eastAsia="宋体" w:cs="Times New Roman"/>
      <w:sz w:val="20"/>
    </w:rPr>
  </w:style>
  <w:style w:type="character" w:styleId="1193" w:customStyle="1">
    <w:name w:val="1ji Char"/>
    <w:uiPriority w:val="0"/>
    <w:qFormat/>
    <w:rPr>
      <w:rFonts w:ascii="Times New Roman" w:hAnsi="Times New Roman" w:eastAsia="宋体" w:cs="Times New Roman"/>
      <w:b/>
      <w:sz w:val="20"/>
    </w:rPr>
  </w:style>
  <w:style w:type="character" w:styleId="1194" w:customStyle="1">
    <w:name w:val="正文文本缩进 Char"/>
    <w:uiPriority w:val="0"/>
    <w:qFormat/>
    <w:rPr>
      <w:rFonts w:ascii="Times New Roman" w:hAnsi="Times New Roman" w:eastAsia="宋体" w:cs="Times New Roman"/>
      <w:sz w:val="20"/>
    </w:rPr>
  </w:style>
  <w:style w:type="character" w:styleId="1195" w:customStyle="1">
    <w:name w:val="标准文本 Char Char"/>
    <w:uiPriority w:val="0"/>
    <w:qFormat/>
    <w:rPr>
      <w:rFonts w:ascii="Times New Roman" w:hAnsi="Times New Roman" w:eastAsia="宋体" w:cs="Times New Roman"/>
      <w:sz w:val="20"/>
    </w:rPr>
  </w:style>
  <w:style w:type="character" w:styleId="1196" w:customStyle="1">
    <w:name w:val="表格用 Char"/>
    <w:uiPriority w:val="0"/>
    <w:qFormat/>
    <w:rPr>
      <w:rFonts w:ascii="Times New Roman" w:hAnsi="Times New Roman" w:eastAsia="宋体" w:cs="Times New Roman"/>
      <w:color w:val="000000"/>
      <w:sz w:val="20"/>
    </w:rPr>
  </w:style>
  <w:style w:type="character" w:styleId="1197" w:customStyle="1">
    <w:name w:val="标题 7 Char1"/>
    <w:uiPriority w:val="0"/>
    <w:qFormat/>
    <w:rPr>
      <w:rFonts w:ascii="Times New Roman" w:hAnsi="Times New Roman" w:eastAsia="宋体" w:cs="Times New Roman"/>
      <w:b/>
      <w:sz w:val="20"/>
    </w:rPr>
  </w:style>
  <w:style w:type="character" w:styleId="1198" w:customStyle="1">
    <w:name w:val="H 3 Char"/>
    <w:uiPriority w:val="0"/>
    <w:qFormat/>
    <w:rPr>
      <w:rFonts w:ascii="Times New Roman" w:hAnsi="Times New Roman" w:eastAsia="宋体" w:cs="Times New Roman"/>
      <w:b/>
      <w:sz w:val="20"/>
    </w:rPr>
  </w:style>
  <w:style w:type="character" w:styleId="1199" w:customStyle="1">
    <w:name w:val="标题 Char"/>
    <w:uiPriority w:val="0"/>
    <w:qFormat/>
    <w:rPr>
      <w:rFonts w:ascii="Times New Roman" w:hAnsi="Times New Roman" w:eastAsia="宋体" w:cs="Times New Roman"/>
      <w:b/>
      <w:sz w:val="20"/>
    </w:rPr>
  </w:style>
  <w:style w:type="character" w:styleId="1200" w:customStyle="1">
    <w:name w:val="H 4 Char"/>
    <w:uiPriority w:val="0"/>
    <w:qFormat/>
    <w:rPr>
      <w:rFonts w:ascii="Times New Roman" w:hAnsi="Times New Roman" w:eastAsia="宋体" w:cs="Times New Roman"/>
      <w:b/>
      <w:sz w:val="20"/>
    </w:rPr>
  </w:style>
  <w:style w:type="character" w:styleId="1201" w:customStyle="1">
    <w:name w:val="批注主题 Char1"/>
    <w:uiPriority w:val="0"/>
    <w:qFormat/>
    <w:rPr>
      <w:rFonts w:ascii="Times New Roman" w:hAnsi="Times New Roman" w:eastAsia="宋体" w:cs="Times New Roman"/>
      <w:b/>
      <w:sz w:val="20"/>
    </w:rPr>
  </w:style>
  <w:style w:type="character" w:styleId="1202" w:customStyle="1">
    <w:name w:val="正文文本缩进 Char1"/>
    <w:uiPriority w:val="0"/>
    <w:qFormat/>
    <w:rPr>
      <w:rFonts w:ascii="Times New Roman" w:hAnsi="Times New Roman" w:eastAsia="宋体" w:cs="Times New Roman"/>
      <w:sz w:val="20"/>
    </w:rPr>
  </w:style>
  <w:style w:type="character" w:styleId="1203" w:customStyle="1">
    <w:name w:val="正文文本 3 Char"/>
    <w:uiPriority w:val="0"/>
    <w:qFormat/>
    <w:rPr>
      <w:rFonts w:ascii="Times New Roman" w:hAnsi="Times New Roman" w:eastAsia="宋体" w:cs="Times New Roman"/>
      <w:sz w:val="20"/>
    </w:rPr>
  </w:style>
  <w:style w:type="character" w:styleId="1204" w:customStyle="1">
    <w:name w:val="正文首行缩进 2 Char"/>
    <w:uiPriority w:val="0"/>
    <w:qFormat/>
    <w:rPr>
      <w:rFonts w:ascii="Times New Roman" w:hAnsi="Times New Roman" w:eastAsia="宋体" w:cs="Times New Roman"/>
      <w:sz w:val="20"/>
    </w:rPr>
  </w:style>
  <w:style w:type="character" w:styleId="1205" w:customStyle="1">
    <w:name w:val="页眉 Char1"/>
    <w:uiPriority w:val="0"/>
    <w:qFormat/>
    <w:rPr>
      <w:rFonts w:ascii="Times New Roman" w:hAnsi="Times New Roman" w:eastAsia="宋体" w:cs="Times New Roman"/>
      <w:sz w:val="20"/>
    </w:rPr>
  </w:style>
  <w:style w:type="character" w:styleId="1206" w:customStyle="1">
    <w:name w:val="Char Char2"/>
    <w:uiPriority w:val="0"/>
    <w:qFormat/>
    <w:rPr>
      <w:rFonts w:ascii="Times New Roman" w:hAnsi="Times New Roman" w:eastAsia="宋体" w:cs="Times New Roman"/>
      <w:sz w:val="20"/>
    </w:rPr>
  </w:style>
  <w:style w:type="character" w:styleId="1207" w:customStyle="1">
    <w:name w:val="样式 首行缩进:  2 字符 Char1"/>
    <w:uiPriority w:val="0"/>
    <w:qFormat/>
    <w:rPr>
      <w:rFonts w:ascii="Times New Roman" w:hAnsi="Times New Roman" w:eastAsia="宋体" w:cs="Times New Roman"/>
      <w:sz w:val="20"/>
    </w:rPr>
  </w:style>
  <w:style w:type="character" w:styleId="1208" w:customStyle="1">
    <w:name w:val="标题 2 Char"/>
    <w:uiPriority w:val="0"/>
    <w:qFormat/>
    <w:rPr>
      <w:rFonts w:ascii="Times New Roman" w:hAnsi="Times New Roman" w:eastAsia="宋体" w:cs="Times New Roman"/>
      <w:b/>
      <w:sz w:val="20"/>
    </w:rPr>
  </w:style>
  <w:style w:type="character" w:styleId="1209" w:customStyle="1">
    <w:name w:val="表格文字图表文字 Char Char"/>
    <w:uiPriority w:val="0"/>
    <w:qFormat/>
    <w:rPr>
      <w:rFonts w:ascii="Times New Roman" w:hAnsi="Times New Roman" w:eastAsia="宋体" w:cs="Times New Roman"/>
      <w:sz w:val="20"/>
    </w:rPr>
  </w:style>
  <w:style w:type="character" w:styleId="1210" w:customStyle="1">
    <w:name w:val="图片 Char"/>
    <w:uiPriority w:val="0"/>
    <w:qFormat/>
    <w:rPr>
      <w:rFonts w:ascii="Times New Roman" w:hAnsi="Times New Roman" w:eastAsia="宋体" w:cs="Times New Roman"/>
      <w:sz w:val="20"/>
    </w:rPr>
  </w:style>
  <w:style w:type="character" w:styleId="1211" w:customStyle="1">
    <w:name w:val="标题 6 Char"/>
    <w:uiPriority w:val="0"/>
    <w:qFormat/>
    <w:rPr>
      <w:rFonts w:ascii="Times New Roman" w:hAnsi="Times New Roman" w:eastAsia="宋体" w:cs="Times New Roman"/>
      <w:b/>
      <w:sz w:val="20"/>
    </w:rPr>
  </w:style>
  <w:style w:type="character" w:styleId="1212" w:customStyle="1">
    <w:name w:val="标题 4 Char"/>
    <w:uiPriority w:val="0"/>
    <w:qFormat/>
    <w:rPr>
      <w:rFonts w:ascii="Times New Roman" w:hAnsi="Times New Roman" w:eastAsia="宋体" w:cs="Times New Roman"/>
      <w:b/>
      <w:sz w:val="20"/>
    </w:rPr>
  </w:style>
  <w:style w:type="character" w:styleId="1213" w:customStyle="1">
    <w:name w:val="文档结构图 Char1"/>
    <w:uiPriority w:val="0"/>
    <w:qFormat/>
    <w:rPr>
      <w:rFonts w:ascii="Times New Roman" w:hAnsi="Times New Roman" w:eastAsia="宋体" w:cs="Times New Roman"/>
      <w:sz w:val="20"/>
    </w:rPr>
  </w:style>
  <w:style w:type="character" w:styleId="1214" w:customStyle="1">
    <w:name w:val="项目符0 Char"/>
    <w:uiPriority w:val="0"/>
    <w:qFormat/>
    <w:rPr>
      <w:rFonts w:ascii="Times New Roman" w:hAnsi="Times New Roman" w:eastAsia="宋体" w:cs="Times New Roman"/>
      <w:sz w:val="20"/>
    </w:rPr>
  </w:style>
  <w:style w:type="character" w:styleId="1215" w:customStyle="1">
    <w:name w:val="正文文本缩进 3 Char"/>
    <w:uiPriority w:val="0"/>
    <w:qFormat/>
    <w:rPr>
      <w:rFonts w:ascii="Times New Roman" w:hAnsi="Times New Roman" w:eastAsia="宋体" w:cs="Times New Roman"/>
      <w:sz w:val="20"/>
    </w:rPr>
  </w:style>
  <w:style w:type="character" w:styleId="1216" w:customStyle="1">
    <w:name w:val="Char Char3"/>
    <w:uiPriority w:val="0"/>
    <w:qFormat/>
    <w:rPr>
      <w:rFonts w:ascii="Times New Roman" w:hAnsi="Times New Roman" w:eastAsia="宋体" w:cs="Times New Roman"/>
      <w:sz w:val="20"/>
    </w:rPr>
  </w:style>
  <w:style w:type="character" w:styleId="1217" w:customStyle="1">
    <w:name w:val="纯文本 Char"/>
    <w:uiPriority w:val="0"/>
    <w:qFormat/>
    <w:rPr>
      <w:rFonts w:ascii="Times New Roman" w:hAnsi="Times New Roman" w:eastAsia="宋体" w:cs="Times New Roman"/>
      <w:sz w:val="20"/>
    </w:rPr>
  </w:style>
  <w:style w:type="character" w:styleId="1218" w:customStyle="1">
    <w:name w:val="正文文本缩进 2 Char1"/>
    <w:uiPriority w:val="0"/>
    <w:qFormat/>
    <w:rPr>
      <w:rFonts w:ascii="Times New Roman" w:hAnsi="Times New Roman" w:eastAsia="宋体" w:cs="Times New Roman"/>
      <w:sz w:val="20"/>
    </w:rPr>
  </w:style>
  <w:style w:type="character" w:styleId="1219" w:customStyle="1">
    <w:name w:val="标题 8 Char"/>
    <w:uiPriority w:val="0"/>
    <w:qFormat/>
    <w:rPr>
      <w:rFonts w:ascii="Times New Roman" w:hAnsi="Times New Roman" w:eastAsia="宋体" w:cs="Times New Roman"/>
      <w:sz w:val="20"/>
    </w:rPr>
  </w:style>
  <w:style w:type="character" w:styleId="1220" w:customStyle="1">
    <w:name w:val="标题 6 Char1"/>
    <w:uiPriority w:val="0"/>
    <w:qFormat/>
    <w:rPr>
      <w:rFonts w:ascii="Times New Roman" w:hAnsi="Times New Roman" w:eastAsia="宋体" w:cs="Times New Roman"/>
      <w:b/>
      <w:sz w:val="20"/>
    </w:rPr>
  </w:style>
  <w:style w:type="character" w:styleId="1221" w:customStyle="1">
    <w:name w:val="case31"/>
    <w:uiPriority w:val="0"/>
    <w:qFormat/>
    <w:rPr>
      <w:rFonts w:ascii="Times New Roman" w:hAnsi="Times New Roman" w:eastAsia="宋体" w:cs="Times New Roman"/>
      <w:sz w:val="20"/>
    </w:rPr>
  </w:style>
  <w:style w:type="character" w:styleId="1222" w:customStyle="1">
    <w:name w:val="正文文本 Char"/>
    <w:uiPriority w:val="0"/>
    <w:qFormat/>
    <w:rPr>
      <w:rFonts w:ascii="Times New Roman" w:hAnsi="Times New Roman" w:eastAsia="宋体" w:cs="Times New Roman"/>
      <w:sz w:val="20"/>
    </w:rPr>
  </w:style>
  <w:style w:type="paragraph" w:styleId="1223" w:customStyle="1">
    <w:name w:val="节标题"/>
    <w:basedOn w:val="1014"/>
    <w:next w:val="1224"/>
    <w:uiPriority w:val="0"/>
    <w:qFormat/>
    <w:pPr>
      <w:ind w:firstLine="5120"/>
      <w:jc w:val="center"/>
      <w:keepLines w:val="0"/>
      <w:keepNext w:val="0"/>
      <w:spacing w:before="0" w:after="0" w:line="289" w:lineRule="atLeast"/>
    </w:pPr>
    <w:rPr>
      <w:rFonts w:ascii="Times New Roman" w:hAnsi="Times New Roman" w:eastAsia="宋体" w:cs="Times New Roman"/>
      <w:color w:val="auto"/>
      <w:sz w:val="20"/>
      <w:szCs w:val="20"/>
    </w:rPr>
  </w:style>
  <w:style w:type="paragraph" w:styleId="1224" w:customStyle="1">
    <w:name w:val="文档标题6"/>
    <w:basedOn w:val="1020"/>
    <w:next w:val="1013"/>
    <w:uiPriority w:val="0"/>
    <w:qFormat/>
    <w:pPr>
      <w:ind w:left="1134" w:firstLine="20"/>
      <w:keepLines w:val="0"/>
      <w:keepNext w:val="0"/>
      <w:spacing w:before="280" w:after="280" w:line="360" w:lineRule="auto"/>
      <w:outlineLvl w:val="5"/>
    </w:pPr>
    <w:rPr>
      <w:rFonts w:ascii="Times New Roman" w:hAnsi="Times New Roman" w:cs="Times New Roman"/>
      <w:b w:val="0"/>
      <w:bCs w:val="0"/>
      <w:color w:val="000000"/>
      <w14:textFill>
        <w14:solidFill>
          <w14:srgbClr w14:val="000000">
            <w14:lumMod w14:val="65000"/>
            <w14:lumOff w14:val="35000"/>
          </w14:srgbClr>
        </w14:solidFill>
      </w14:textFill>
    </w:rPr>
  </w:style>
  <w:style w:type="paragraph" w:styleId="1225" w:customStyle="1">
    <w:name w:val="正文段"/>
    <w:basedOn w:val="1014"/>
    <w:next w:val="1226"/>
    <w:uiPriority w:val="0"/>
    <w:qFormat/>
    <w:pPr>
      <w:ind w:left="454" w:firstLine="1222"/>
      <w:keepLines w:val="0"/>
      <w:keepNext w:val="0"/>
      <w:spacing w:before="0" w:after="240" w:line="240" w:lineRule="atLeast"/>
    </w:pPr>
    <w:rPr>
      <w:rFonts w:ascii="Times New Roman" w:hAnsi="Times New Roman" w:eastAsia="宋体" w:cs="Times New Roman"/>
      <w:color w:val="auto"/>
      <w:sz w:val="20"/>
      <w:szCs w:val="20"/>
    </w:rPr>
  </w:style>
  <w:style w:type="paragraph" w:styleId="1226" w:customStyle="1">
    <w:name w:val="批注主题1"/>
    <w:next w:val="1013"/>
    <w:uiPriority w:val="0"/>
    <w:qFormat/>
    <w:pPr>
      <w:ind w:left="200" w:firstLine="4808"/>
      <w:spacing w:line="360" w:lineRule="auto"/>
    </w:pPr>
    <w:rPr>
      <w:rFonts w:ascii="Calibri" w:hAnsi="Calibri" w:eastAsia="宋体" w:cs="宋体"/>
      <w:lang w:val="en-US" w:eastAsia="zh-CN" w:bidi="ar-SA"/>
    </w:rPr>
  </w:style>
  <w:style w:type="paragraph" w:styleId="1227" w:customStyle="1">
    <w:name w:val="_Style 224"/>
    <w:next w:val="1228"/>
    <w:uiPriority w:val="0"/>
    <w:qFormat/>
    <w:pPr>
      <w:ind w:firstLine="3584"/>
    </w:pPr>
    <w:rPr>
      <w:rFonts w:ascii="Calibri" w:hAnsi="Calibri" w:eastAsia="宋体" w:cs="宋体"/>
      <w:lang w:val="en-US" w:eastAsia="zh-CN" w:bidi="ar-SA"/>
    </w:rPr>
  </w:style>
  <w:style w:type="paragraph" w:styleId="1228" w:customStyle="1">
    <w:name w:val="编号1"/>
    <w:basedOn w:val="1014"/>
    <w:next w:val="1229"/>
    <w:uiPriority w:val="0"/>
    <w:qFormat/>
    <w:pPr>
      <w:ind w:left="360" w:right="210" w:firstLine="2200"/>
      <w:keepLines w:val="0"/>
      <w:keepNext w:val="0"/>
      <w:spacing w:before="0" w:after="0"/>
    </w:pPr>
    <w:rPr>
      <w:rFonts w:ascii="Times New Roman" w:hAnsi="Times New Roman" w:eastAsia="宋体" w:cs="Times New Roman"/>
      <w:color w:val="auto"/>
      <w:sz w:val="20"/>
      <w:szCs w:val="20"/>
    </w:rPr>
  </w:style>
  <w:style w:type="paragraph" w:styleId="1229" w:customStyle="1">
    <w:name w:val="图片"/>
    <w:basedOn w:val="1014"/>
    <w:next w:val="1230"/>
    <w:uiPriority w:val="0"/>
    <w:qFormat/>
    <w:pPr>
      <w:ind w:left="-283" w:firstLine="2674"/>
      <w:jc w:val="center"/>
      <w:keepLines w:val="0"/>
      <w:keepNext w:val="0"/>
      <w:spacing w:before="0" w:after="0" w:line="360" w:lineRule="auto"/>
    </w:pPr>
    <w:rPr>
      <w:rFonts w:ascii="Times New Roman" w:hAnsi="Times New Roman" w:eastAsia="宋体" w:cs="Times New Roman"/>
      <w:color w:val="auto"/>
      <w:sz w:val="20"/>
      <w:szCs w:val="20"/>
    </w:rPr>
  </w:style>
  <w:style w:type="paragraph" w:styleId="1230" w:customStyle="1">
    <w:name w:val="样式 目录 3 + 左侧:  2 字符"/>
    <w:next w:val="1063"/>
    <w:uiPriority w:val="0"/>
    <w:qFormat/>
    <w:pPr>
      <w:ind w:left="400" w:firstLine="5120"/>
      <w:spacing w:line="360" w:lineRule="auto"/>
      <w:widowControl w:val="off"/>
    </w:pPr>
    <w:rPr>
      <w:rFonts w:ascii="Calibri" w:hAnsi="Calibri" w:eastAsia="宋体" w:cs="宋体"/>
      <w:lang w:val="en-US" w:eastAsia="zh-CN" w:bidi="ar-SA"/>
    </w:rPr>
  </w:style>
  <w:style w:type="paragraph" w:styleId="1231" w:customStyle="1">
    <w:name w:val="图注"/>
    <w:next w:val="1232"/>
    <w:uiPriority w:val="0"/>
    <w:qFormat/>
    <w:pPr>
      <w:ind w:left="360" w:firstLine="2152"/>
      <w:jc w:val="center"/>
    </w:pPr>
    <w:rPr>
      <w:rFonts w:ascii="Calibri" w:hAnsi="Calibri" w:eastAsia="宋体" w:cs="宋体"/>
      <w:lang w:val="en-US" w:eastAsia="zh-CN" w:bidi="ar-SA"/>
    </w:rPr>
  </w:style>
  <w:style w:type="paragraph" w:styleId="1232" w:customStyle="1">
    <w:name w:val="列表编号 41"/>
    <w:basedOn w:val="1014"/>
    <w:next w:val="1233"/>
    <w:uiPriority w:val="0"/>
    <w:qFormat/>
    <w:pPr>
      <w:ind w:left="1620" w:firstLine="2712"/>
      <w:keepLines w:val="0"/>
      <w:keepNext w:val="0"/>
      <w:spacing w:before="0" w:after="0" w:line="360" w:lineRule="auto"/>
    </w:pPr>
    <w:rPr>
      <w:rFonts w:ascii="Times New Roman" w:hAnsi="Times New Roman" w:eastAsia="宋体" w:cs="Times New Roman"/>
      <w:color w:val="auto"/>
      <w:sz w:val="20"/>
      <w:szCs w:val="20"/>
    </w:rPr>
  </w:style>
  <w:style w:type="paragraph" w:styleId="1233" w:customStyle="1">
    <w:name w:val="项目符0"/>
    <w:basedOn w:val="1014"/>
    <w:next w:val="1234"/>
    <w:uiPriority w:val="0"/>
    <w:qFormat/>
    <w:pPr>
      <w:ind w:left="300" w:right="57" w:firstLine="2760"/>
      <w:keepLines w:val="0"/>
      <w:keepNext w:val="0"/>
      <w:spacing w:before="0" w:after="0" w:line="300" w:lineRule="auto"/>
    </w:pPr>
    <w:rPr>
      <w:rFonts w:ascii="Times New Roman" w:hAnsi="Times New Roman" w:eastAsia="宋体" w:cs="Times New Roman"/>
      <w:color w:val="auto"/>
      <w:sz w:val="20"/>
      <w:szCs w:val="20"/>
    </w:rPr>
  </w:style>
  <w:style w:type="paragraph" w:styleId="1234" w:customStyle="1">
    <w:name w:val="宏文本1"/>
    <w:next w:val="1235"/>
    <w:uiPriority w:val="0"/>
    <w:qFormat/>
    <w:pPr>
      <w:ind w:firstLine="5632"/>
      <w:widowControl w:val="off"/>
    </w:pPr>
    <w:rPr>
      <w:rFonts w:ascii="Calibri" w:hAnsi="Calibri" w:eastAsia="宋体" w:cs="宋体"/>
      <w:lang w:val="en-US" w:eastAsia="zh-CN" w:bidi="ar-SA"/>
    </w:rPr>
  </w:style>
  <w:style w:type="paragraph" w:styleId="1235" w:customStyle="1">
    <w:name w:val="Item Step in Table"/>
    <w:next w:val="1236"/>
    <w:uiPriority w:val="0"/>
    <w:qFormat/>
    <w:pPr>
      <w:ind w:left="397" w:firstLine="3699"/>
      <w:jc w:val="both"/>
      <w:spacing w:before="40" w:after="40"/>
    </w:pPr>
    <w:rPr>
      <w:rFonts w:ascii="Calibri" w:hAnsi="Calibri" w:eastAsia="宋体" w:cs="宋体"/>
      <w:lang w:val="en-US" w:eastAsia="zh-CN" w:bidi="ar-SA"/>
    </w:rPr>
  </w:style>
  <w:style w:type="paragraph" w:styleId="1236" w:customStyle="1">
    <w:name w:val="Char Char Char Char Char Char1 Char Char Char Char Char Char"/>
    <w:basedOn w:val="1014"/>
    <w:next w:val="1237"/>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237" w:customStyle="1">
    <w:name w:val="Char Char1"/>
    <w:basedOn w:val="1014"/>
    <w:next w:val="1238"/>
    <w:uiPriority w:val="0"/>
    <w:qFormat/>
    <w:pPr>
      <w:ind w:firstLine="3584"/>
      <w:keepLines w:val="0"/>
      <w:keepNext w:val="0"/>
      <w:spacing w:before="0" w:after="160" w:line="240" w:lineRule="exact"/>
    </w:pPr>
    <w:rPr>
      <w:rFonts w:ascii="Times New Roman" w:hAnsi="Times New Roman" w:eastAsia="宋体" w:cs="Times New Roman"/>
      <w:color w:val="auto"/>
      <w:sz w:val="20"/>
      <w:szCs w:val="20"/>
    </w:rPr>
  </w:style>
  <w:style w:type="paragraph" w:styleId="1238" w:customStyle="1">
    <w:name w:val="样式 标题 3 + 行距: 1.5 倍行距"/>
    <w:basedOn w:val="1017"/>
    <w:next w:val="1069"/>
    <w:uiPriority w:val="0"/>
    <w:qFormat/>
    <w:pPr>
      <w:ind w:left="200" w:firstLine="18"/>
      <w:keepLines w:val="0"/>
      <w:keepNext w:val="0"/>
      <w:spacing w:before="0" w:after="0" w:line="360" w:lineRule="auto"/>
      <w:outlineLvl w:val="2"/>
    </w:pPr>
    <w:rPr>
      <w:rFonts w:ascii="Times New Roman" w:hAnsi="Times New Roman" w:cs="Times New Roman"/>
      <w:color w:val="auto"/>
      <w:sz w:val="20"/>
      <w:szCs w:val="20"/>
    </w:rPr>
  </w:style>
  <w:style w:type="paragraph" w:styleId="1239" w:customStyle="1">
    <w:name w:val="xl76"/>
    <w:basedOn w:val="1014"/>
    <w:next w:val="1066"/>
    <w:uiPriority w:val="0"/>
    <w:qFormat/>
    <w:pPr>
      <w:ind w:firstLine="3584"/>
      <w:jc w:val="center"/>
      <w:keepLines w:val="0"/>
      <w:keepNext w:val="0"/>
      <w:spacing w:before="280" w:after="280"/>
    </w:pPr>
    <w:rPr>
      <w:rFonts w:ascii="Times New Roman" w:hAnsi="Times New Roman" w:eastAsia="宋体" w:cs="Times New Roman"/>
      <w:color w:val="auto"/>
      <w:sz w:val="20"/>
      <w:szCs w:val="20"/>
    </w:rPr>
  </w:style>
  <w:style w:type="paragraph" w:styleId="1240" w:customStyle="1">
    <w:name w:val="xl26"/>
    <w:basedOn w:val="1014"/>
    <w:next w:val="1241"/>
    <w:uiPriority w:val="0"/>
    <w:qFormat/>
    <w:pPr>
      <w:ind w:firstLine="20"/>
      <w:jc w:val="center"/>
      <w:keepLines w:val="0"/>
      <w:keepNext w:val="0"/>
      <w:spacing w:before="280" w:after="280"/>
      <w:shd w:val="clear" w:color="000000" w:fill="ffffff"/>
    </w:pPr>
    <w:rPr>
      <w:rFonts w:ascii="Times New Roman" w:hAnsi="Times New Roman" w:eastAsia="宋体" w:cs="Times New Roman"/>
      <w:color w:val="auto"/>
      <w:sz w:val="20"/>
      <w:szCs w:val="20"/>
    </w:rPr>
  </w:style>
  <w:style w:type="paragraph" w:styleId="1241" w:customStyle="1">
    <w:name w:val="Char1 Char Char"/>
    <w:basedOn w:val="1014"/>
    <w:next w:val="1050"/>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242" w:customStyle="1">
    <w:name w:val="纯文本2"/>
    <w:basedOn w:val="1014"/>
    <w:next w:val="1243"/>
    <w:uiPriority w:val="0"/>
    <w:qFormat/>
    <w:pPr>
      <w:ind w:firstLine="3584"/>
      <w:keepLines w:val="0"/>
      <w:keepNext w:val="0"/>
      <w:spacing w:before="0" w:after="0"/>
    </w:pPr>
    <w:rPr>
      <w:rFonts w:ascii="Times New Roman" w:hAnsi="Times New Roman" w:eastAsia="宋体" w:cs="Times New Roman"/>
      <w:color w:val="auto"/>
      <w:sz w:val="20"/>
      <w:szCs w:val="20"/>
    </w:rPr>
  </w:style>
  <w:style w:type="paragraph" w:styleId="1243" w:customStyle="1">
    <w:name w:val="xl69"/>
    <w:basedOn w:val="1014"/>
    <w:next w:val="1244"/>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244" w:customStyle="1">
    <w:name w:val="Char Char Char"/>
    <w:basedOn w:val="1014"/>
    <w:next w:val="1245"/>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245" w:customStyle="1">
    <w:name w:val="表格"/>
    <w:basedOn w:val="1014"/>
    <w:next w:val="1240"/>
    <w:uiPriority w:val="0"/>
    <w:qFormat/>
    <w:pPr>
      <w:ind w:firstLine="2560"/>
      <w:keepLines w:val="0"/>
      <w:keepNext w:val="0"/>
      <w:spacing w:before="0" w:after="0" w:line="360" w:lineRule="auto"/>
    </w:pPr>
    <w:rPr>
      <w:rFonts w:ascii="Times New Roman" w:hAnsi="Times New Roman" w:eastAsia="宋体" w:cs="Times New Roman"/>
      <w:color w:val="auto"/>
      <w:sz w:val="20"/>
      <w:szCs w:val="20"/>
    </w:rPr>
  </w:style>
  <w:style w:type="paragraph" w:styleId="1246" w:customStyle="1">
    <w:name w:val="xl68"/>
    <w:basedOn w:val="1014"/>
    <w:next w:val="1247"/>
    <w:uiPriority w:val="0"/>
    <w:qFormat/>
    <w:pPr>
      <w:ind w:left="100" w:firstLine="5220"/>
      <w:keepLines w:val="0"/>
      <w:keepNext w:val="0"/>
      <w:spacing w:before="280" w:after="280"/>
    </w:pPr>
    <w:rPr>
      <w:rFonts w:ascii="Times New Roman" w:hAnsi="Times New Roman" w:eastAsia="宋体" w:cs="Times New Roman"/>
      <w:color w:val="auto"/>
      <w:sz w:val="20"/>
      <w:szCs w:val="20"/>
    </w:rPr>
  </w:style>
  <w:style w:type="paragraph" w:styleId="1247" w:customStyle="1">
    <w:name w:val="Char1"/>
    <w:basedOn w:val="1014"/>
    <w:next w:val="1248"/>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248" w:customStyle="1">
    <w:name w:val="需求文档正文样式"/>
    <w:basedOn w:val="1014"/>
    <w:next w:val="1249"/>
    <w:uiPriority w:val="0"/>
    <w:qFormat/>
    <w:pPr>
      <w:ind w:left="437" w:firstLine="2741"/>
      <w:keepLines w:val="0"/>
      <w:keepNext w:val="0"/>
      <w:spacing w:before="0" w:after="0" w:line="360" w:lineRule="auto"/>
    </w:pPr>
    <w:rPr>
      <w:rFonts w:ascii="Times New Roman" w:hAnsi="Times New Roman" w:eastAsia="宋体" w:cs="Times New Roman"/>
      <w:color w:val="auto"/>
      <w:sz w:val="20"/>
      <w:szCs w:val="20"/>
    </w:rPr>
  </w:style>
  <w:style w:type="paragraph" w:styleId="1249" w:customStyle="1">
    <w:name w:val="xl74"/>
    <w:basedOn w:val="1014"/>
    <w:next w:val="1250"/>
    <w:uiPriority w:val="0"/>
    <w:qFormat/>
    <w:pPr>
      <w:ind w:firstLine="16"/>
      <w:jc w:val="center"/>
      <w:keepLines w:val="0"/>
      <w:keepNext w:val="0"/>
      <w:spacing w:before="280" w:after="280"/>
      <w:shd w:val="clear" w:color="000000" w:fill="538dd5"/>
    </w:pPr>
    <w:rPr>
      <w:rFonts w:ascii="Times New Roman" w:hAnsi="Times New Roman" w:eastAsia="宋体" w:cs="Times New Roman"/>
      <w:color w:val="auto"/>
      <w:sz w:val="20"/>
      <w:szCs w:val="20"/>
    </w:rPr>
  </w:style>
  <w:style w:type="paragraph" w:styleId="1250" w:customStyle="1">
    <w:name w:val="xl88"/>
    <w:basedOn w:val="1014"/>
    <w:next w:val="1251"/>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251" w:customStyle="1">
    <w:name w:val="xl70"/>
    <w:basedOn w:val="1014"/>
    <w:next w:val="1065"/>
    <w:uiPriority w:val="0"/>
    <w:qFormat/>
    <w:pPr>
      <w:ind w:firstLine="1024"/>
      <w:keepLines w:val="0"/>
      <w:keepNext w:val="0"/>
      <w:spacing w:before="280" w:after="280"/>
    </w:pPr>
    <w:rPr>
      <w:rFonts w:ascii="Times New Roman" w:hAnsi="Times New Roman" w:eastAsia="宋体" w:cs="Times New Roman"/>
      <w:color w:val="auto"/>
      <w:sz w:val="20"/>
      <w:szCs w:val="20"/>
    </w:rPr>
  </w:style>
  <w:style w:type="paragraph" w:styleId="1252" w:customStyle="1">
    <w:name w:val="文档标题5"/>
    <w:basedOn w:val="1019"/>
    <w:next w:val="1013"/>
    <w:uiPriority w:val="0"/>
    <w:qFormat/>
    <w:pPr>
      <w:ind w:left="992" w:firstLine="18"/>
      <w:keepLines w:val="0"/>
      <w:keepNext w:val="0"/>
      <w:spacing w:before="280" w:after="280" w:line="360" w:lineRule="auto"/>
      <w:outlineLvl w:val="4"/>
    </w:pPr>
    <w:rPr>
      <w:rFonts w:ascii="Times New Roman" w:hAnsi="Times New Roman" w:cs="Times New Roman"/>
      <w:b w:val="0"/>
      <w:bCs w:val="0"/>
      <w:color w:val="auto"/>
    </w:rPr>
  </w:style>
  <w:style w:type="paragraph" w:styleId="1253" w:customStyle="1">
    <w:name w:val="样式 加粗 居中"/>
    <w:basedOn w:val="1014"/>
    <w:next w:val="1254"/>
    <w:uiPriority w:val="0"/>
    <w:qFormat/>
    <w:pPr>
      <w:ind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254" w:customStyle="1">
    <w:name w:val="_Style 12"/>
    <w:next w:val="1255"/>
    <w:uiPriority w:val="0"/>
    <w:qFormat/>
    <w:pPr>
      <w:ind w:firstLine="14"/>
      <w:spacing w:line="360" w:lineRule="auto"/>
      <w:shd w:val="clear" w:color="000000" w:fill="000080"/>
    </w:pPr>
    <w:rPr>
      <w:rFonts w:ascii="Calibri" w:hAnsi="Calibri" w:eastAsia="宋体" w:cs="宋体"/>
      <w:lang w:val="en-US" w:eastAsia="zh-CN" w:bidi="ar-SA"/>
    </w:rPr>
  </w:style>
  <w:style w:type="paragraph" w:styleId="1255" w:customStyle="1">
    <w:name w:val="正文文本缩进1"/>
    <w:basedOn w:val="1014"/>
    <w:next w:val="1256"/>
    <w:uiPriority w:val="0"/>
    <w:qFormat/>
    <w:pPr>
      <w:ind w:left="420" w:firstLine="3584"/>
      <w:keepLines w:val="0"/>
      <w:keepNext w:val="0"/>
      <w:spacing w:before="0" w:after="120"/>
    </w:pPr>
    <w:rPr>
      <w:rFonts w:ascii="Times New Roman" w:hAnsi="Times New Roman" w:eastAsia="宋体" w:cs="Times New Roman"/>
      <w:color w:val="auto"/>
      <w:sz w:val="20"/>
      <w:szCs w:val="20"/>
    </w:rPr>
  </w:style>
  <w:style w:type="paragraph" w:styleId="1256" w:customStyle="1">
    <w:name w:val="列表编号 31"/>
    <w:basedOn w:val="1014"/>
    <w:next w:val="1067"/>
    <w:uiPriority w:val="0"/>
    <w:qFormat/>
    <w:pPr>
      <w:ind w:left="1200" w:firstLine="2712"/>
      <w:keepLines w:val="0"/>
      <w:keepNext w:val="0"/>
      <w:spacing w:before="0" w:after="0" w:line="360" w:lineRule="auto"/>
    </w:pPr>
    <w:rPr>
      <w:rFonts w:ascii="Times New Roman" w:hAnsi="Times New Roman" w:eastAsia="宋体" w:cs="Times New Roman"/>
      <w:color w:val="auto"/>
      <w:sz w:val="20"/>
      <w:szCs w:val="20"/>
    </w:rPr>
  </w:style>
  <w:style w:type="paragraph" w:styleId="1257" w:customStyle="1">
    <w:name w:val="三号 居中"/>
    <w:basedOn w:val="1014"/>
    <w:next w:val="1258"/>
    <w:uiPriority w:val="0"/>
    <w:qFormat/>
    <w:pPr>
      <w:ind w:firstLine="6144"/>
      <w:jc w:val="center"/>
      <w:keepLines w:val="0"/>
      <w:keepNext w:val="0"/>
      <w:spacing w:before="0" w:after="0" w:line="360" w:lineRule="auto"/>
    </w:pPr>
    <w:rPr>
      <w:rFonts w:ascii="Times New Roman" w:hAnsi="Times New Roman" w:eastAsia="宋体" w:cs="Times New Roman"/>
      <w:color w:val="auto"/>
      <w:sz w:val="20"/>
      <w:szCs w:val="20"/>
    </w:rPr>
  </w:style>
  <w:style w:type="paragraph" w:styleId="1258" w:customStyle="1">
    <w:name w:val="列出段落1"/>
    <w:basedOn w:val="1014"/>
    <w:next w:val="1259"/>
    <w:uiPriority w:val="0"/>
    <w:qFormat/>
    <w:pPr>
      <w:ind w:left="420" w:firstLine="3748"/>
      <w:keepLines w:val="0"/>
      <w:keepNext w:val="0"/>
      <w:spacing w:before="0" w:after="0"/>
    </w:pPr>
    <w:rPr>
      <w:rFonts w:ascii="Times New Roman" w:hAnsi="Times New Roman" w:eastAsia="宋体" w:cs="Times New Roman"/>
      <w:color w:val="auto"/>
      <w:sz w:val="20"/>
      <w:szCs w:val="20"/>
    </w:rPr>
  </w:style>
  <w:style w:type="paragraph" w:styleId="1259" w:customStyle="1">
    <w:name w:val="Char Char Char Char Char Char1 Char Char Char1 Char Char Char"/>
    <w:basedOn w:val="1014"/>
    <w:next w:val="1260"/>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260" w:customStyle="1">
    <w:name w:val="Char Char Char Char Char Char1 Char Char Char1 Char"/>
    <w:basedOn w:val="1014"/>
    <w:next w:val="1261"/>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261" w:customStyle="1">
    <w:name w:val="正文符号4"/>
    <w:basedOn w:val="1014"/>
    <w:next w:val="1253"/>
    <w:uiPriority w:val="0"/>
    <w:qFormat/>
    <w:pPr>
      <w:ind w:firstLine="5632"/>
      <w:keepLines w:val="0"/>
      <w:keepNext w:val="0"/>
      <w:spacing w:before="0" w:after="0"/>
    </w:pPr>
    <w:rPr>
      <w:rFonts w:ascii="Times New Roman" w:hAnsi="Times New Roman" w:eastAsia="宋体" w:cs="Times New Roman"/>
      <w:color w:val="auto"/>
      <w:sz w:val="20"/>
      <w:szCs w:val="20"/>
    </w:rPr>
  </w:style>
  <w:style w:type="paragraph" w:styleId="1262" w:customStyle="1">
    <w:name w:val="加粗（居中）"/>
    <w:next w:val="1263"/>
    <w:uiPriority w:val="0"/>
    <w:qFormat/>
    <w:pPr>
      <w:ind w:firstLine="2560"/>
    </w:pPr>
    <w:rPr>
      <w:rFonts w:ascii="Calibri" w:hAnsi="Calibri" w:eastAsia="宋体" w:cs="宋体"/>
      <w:lang w:val="en-US" w:eastAsia="zh-CN" w:bidi="ar-SA"/>
    </w:rPr>
  </w:style>
  <w:style w:type="paragraph" w:styleId="1263" w:customStyle="1">
    <w:name w:val="xl65"/>
    <w:basedOn w:val="1014"/>
    <w:next w:val="1223"/>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264" w:customStyle="1">
    <w:name w:val="WPSOffice手动目录 3"/>
    <w:uiPriority w:val="0"/>
    <w:qFormat/>
    <w:pPr>
      <w:ind w:left="400"/>
    </w:pPr>
    <w:rPr>
      <w:rFonts w:ascii="宋体" w:hAnsi="宋体" w:eastAsia="宋体" w:cs="宋体"/>
      <w:lang w:val="en-US" w:eastAsia="zh-CN" w:bidi="ar-SA"/>
    </w:rPr>
  </w:style>
  <w:style w:type="paragraph" w:styleId="1265" w:customStyle="1">
    <w:name w:val="xl77"/>
    <w:basedOn w:val="1014"/>
    <w:next w:val="1266"/>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266" w:customStyle="1">
    <w:name w:val="Char Char Char1"/>
    <w:basedOn w:val="1014"/>
    <w:next w:val="1267"/>
    <w:uiPriority w:val="0"/>
    <w:qFormat/>
    <w:pPr>
      <w:ind w:left="900" w:firstLine="2096"/>
      <w:keepLines w:val="0"/>
      <w:keepNext w:val="0"/>
      <w:spacing w:before="0" w:after="0"/>
    </w:pPr>
    <w:rPr>
      <w:rFonts w:ascii="Times New Roman" w:hAnsi="Times New Roman" w:eastAsia="宋体" w:cs="Times New Roman"/>
      <w:color w:val="auto"/>
      <w:sz w:val="20"/>
      <w:szCs w:val="20"/>
    </w:rPr>
  </w:style>
  <w:style w:type="paragraph" w:styleId="1267" w:customStyle="1">
    <w:name w:val="索引 21"/>
    <w:basedOn w:val="1014"/>
    <w:next w:val="1013"/>
    <w:uiPriority w:val="0"/>
    <w:qFormat/>
    <w:pPr>
      <w:ind w:left="200"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268" w:customStyle="1">
    <w:name w:val="正文（首行缩进 2 字符）"/>
    <w:next w:val="1269"/>
    <w:uiPriority w:val="0"/>
    <w:qFormat/>
    <w:pPr>
      <w:ind w:left="480" w:firstLine="2784"/>
      <w:jc w:val="center"/>
      <w:spacing w:line="300" w:lineRule="auto"/>
    </w:pPr>
    <w:rPr>
      <w:rFonts w:ascii="Calibri" w:hAnsi="Calibri" w:eastAsia="宋体" w:cs="宋体"/>
      <w:lang w:val="en-US" w:eastAsia="zh-CN" w:bidi="ar-SA"/>
    </w:rPr>
  </w:style>
  <w:style w:type="paragraph" w:styleId="1269" w:customStyle="1">
    <w:name w:val="xl28"/>
    <w:basedOn w:val="1014"/>
    <w:next w:val="1270"/>
    <w:uiPriority w:val="0"/>
    <w:qFormat/>
    <w:pPr>
      <w:ind w:firstLine="20"/>
      <w:keepLines w:val="0"/>
      <w:keepNext w:val="0"/>
      <w:spacing w:before="280" w:after="280"/>
      <w:shd w:val="clear" w:color="000000" w:fill="ffffff"/>
    </w:pPr>
    <w:rPr>
      <w:rFonts w:ascii="Times New Roman" w:hAnsi="Times New Roman" w:eastAsia="宋体" w:cs="Times New Roman"/>
      <w:color w:val="auto"/>
      <w:sz w:val="20"/>
      <w:szCs w:val="20"/>
    </w:rPr>
  </w:style>
  <w:style w:type="paragraph" w:styleId="1270" w:customStyle="1">
    <w:name w:val="HTML 预设格式1"/>
    <w:basedOn w:val="1014"/>
    <w:next w:val="1271"/>
    <w:uiPriority w:val="0"/>
    <w:qFormat/>
    <w:pPr>
      <w:ind w:firstLine="3584"/>
      <w:keepLines w:val="0"/>
      <w:keepNext w:val="0"/>
      <w:spacing w:before="0" w:after="0" w:line="253" w:lineRule="atLeast"/>
    </w:pPr>
    <w:rPr>
      <w:rFonts w:ascii="Times New Roman" w:hAnsi="Times New Roman" w:eastAsia="宋体" w:cs="Times New Roman"/>
      <w:color w:val="auto"/>
      <w:sz w:val="20"/>
      <w:szCs w:val="20"/>
    </w:rPr>
  </w:style>
  <w:style w:type="paragraph" w:styleId="1271" w:customStyle="1">
    <w:name w:val="项目符号：一级"/>
    <w:basedOn w:val="1014"/>
    <w:next w:val="1013"/>
    <w:uiPriority w:val="0"/>
    <w:qFormat/>
    <w:pPr>
      <w:ind w:left="425" w:firstLine="1111"/>
      <w:keepLines w:val="0"/>
      <w:keepNext w:val="0"/>
      <w:spacing w:before="0" w:after="0" w:line="360" w:lineRule="auto"/>
    </w:pPr>
    <w:rPr>
      <w:rFonts w:ascii="Times New Roman" w:hAnsi="Times New Roman" w:eastAsia="宋体" w:cs="Times New Roman"/>
      <w:color w:val="auto"/>
      <w:sz w:val="20"/>
      <w:szCs w:val="20"/>
    </w:rPr>
  </w:style>
  <w:style w:type="paragraph" w:styleId="1272" w:customStyle="1">
    <w:name w:val="Default"/>
    <w:next w:val="1046"/>
    <w:uiPriority w:val="0"/>
    <w:qFormat/>
    <w:pPr>
      <w:ind w:firstLine="5120"/>
      <w:widowControl w:val="off"/>
    </w:pPr>
    <w:rPr>
      <w:rFonts w:ascii="Calibri" w:hAnsi="Calibri" w:eastAsia="宋体" w:cs="宋体"/>
      <w:lang w:val="en-US" w:eastAsia="zh-CN" w:bidi="ar-SA"/>
    </w:rPr>
  </w:style>
  <w:style w:type="paragraph" w:styleId="1273" w:customStyle="1">
    <w:name w:val="xl84"/>
    <w:basedOn w:val="1014"/>
    <w:next w:val="1274"/>
    <w:uiPriority w:val="0"/>
    <w:qFormat/>
    <w:pPr>
      <w:ind w:firstLine="2048"/>
      <w:jc w:val="center"/>
      <w:keepLines w:val="0"/>
      <w:keepNext w:val="0"/>
      <w:spacing w:before="280" w:after="280"/>
    </w:pPr>
    <w:rPr>
      <w:rFonts w:ascii="Times New Roman" w:hAnsi="Times New Roman" w:eastAsia="宋体" w:cs="Times New Roman"/>
      <w:color w:val="auto"/>
      <w:sz w:val="20"/>
      <w:szCs w:val="20"/>
    </w:rPr>
  </w:style>
  <w:style w:type="paragraph" w:styleId="1274" w:customStyle="1">
    <w:name w:val="2-2ji"/>
    <w:basedOn w:val="1016"/>
    <w:next w:val="1275"/>
    <w:uiPriority w:val="0"/>
    <w:qFormat/>
    <w:pPr>
      <w:ind w:firstLine="24"/>
      <w:jc w:val="center"/>
      <w:keepLines w:val="0"/>
      <w:keepNext w:val="0"/>
      <w:spacing w:before="0" w:after="0" w:line="360" w:lineRule="auto"/>
      <w:outlineLvl w:val="1"/>
    </w:pPr>
    <w:rPr>
      <w:rFonts w:ascii="Times New Roman" w:hAnsi="Times New Roman" w:eastAsia="宋体" w:cs="Times New Roman"/>
      <w:color w:val="auto"/>
      <w:sz w:val="20"/>
      <w:szCs w:val="20"/>
    </w:rPr>
  </w:style>
  <w:style w:type="paragraph" w:styleId="1275" w:customStyle="1">
    <w:name w:val="应答文本"/>
    <w:basedOn w:val="1014"/>
    <w:next w:val="1276"/>
    <w:uiPriority w:val="0"/>
    <w:qFormat/>
    <w:pPr>
      <w:ind w:left="1296" w:firstLine="2112"/>
      <w:keepLines w:val="0"/>
      <w:keepNext w:val="0"/>
      <w:spacing w:before="0" w:after="0" w:line="460" w:lineRule="exact"/>
    </w:pPr>
    <w:rPr>
      <w:rFonts w:ascii="Times New Roman" w:hAnsi="Times New Roman" w:eastAsia="宋体" w:cs="Times New Roman"/>
      <w:color w:val="auto"/>
      <w:sz w:val="20"/>
      <w:szCs w:val="20"/>
    </w:rPr>
  </w:style>
  <w:style w:type="paragraph" w:styleId="1276" w:customStyle="1">
    <w:name w:val="引文目录1"/>
    <w:basedOn w:val="1014"/>
    <w:next w:val="1013"/>
    <w:uiPriority w:val="0"/>
    <w:qFormat/>
    <w:pPr>
      <w:ind w:left="420"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277" w:customStyle="1">
    <w:name w:val="首行缩进"/>
    <w:basedOn w:val="1013"/>
    <w:uiPriority w:val="0"/>
    <w:qFormat/>
    <w:pPr>
      <w:ind w:firstLine="480"/>
    </w:pPr>
    <w:rPr>
      <w:rFonts w:ascii="Times New Roman" w:hAnsi="Times New Roman" w:cs="Times New Roman"/>
      <w:lang w:val="zh-CN"/>
    </w:rPr>
  </w:style>
  <w:style w:type="paragraph" w:styleId="1278" w:customStyle="1">
    <w:name w:val="font9"/>
    <w:basedOn w:val="1014"/>
    <w:next w:val="1279"/>
    <w:uiPriority w:val="0"/>
    <w:qFormat/>
    <w:pPr>
      <w:ind w:firstLine="7168"/>
      <w:keepLines w:val="0"/>
      <w:keepNext w:val="0"/>
      <w:spacing w:before="280" w:after="280"/>
    </w:pPr>
    <w:rPr>
      <w:rFonts w:ascii="Times New Roman" w:hAnsi="Times New Roman" w:eastAsia="宋体" w:cs="Times New Roman"/>
      <w:color w:val="auto"/>
      <w:sz w:val="20"/>
      <w:szCs w:val="20"/>
    </w:rPr>
  </w:style>
  <w:style w:type="paragraph" w:styleId="1279" w:customStyle="1">
    <w:name w:val="样式 标题 3 + (中文) 黑体 小四 非加粗 段前: 7.8 磅 段后: 0 磅 行距: 固定值 20 磅"/>
    <w:basedOn w:val="1017"/>
    <w:next w:val="1280"/>
    <w:uiPriority w:val="0"/>
    <w:qFormat/>
    <w:pPr>
      <w:ind w:firstLine="24"/>
      <w:keepLines w:val="0"/>
      <w:keepNext w:val="0"/>
      <w:spacing w:before="0" w:after="0" w:line="400" w:lineRule="exact"/>
      <w:outlineLvl w:val="2"/>
    </w:pPr>
    <w:rPr>
      <w:rFonts w:ascii="Times New Roman" w:hAnsi="Times New Roman" w:cs="Times New Roman"/>
      <w:color w:val="auto"/>
      <w:sz w:val="20"/>
      <w:szCs w:val="20"/>
    </w:rPr>
  </w:style>
  <w:style w:type="paragraph" w:styleId="1280" w:customStyle="1">
    <w:name w:val="标书正文"/>
    <w:basedOn w:val="1014"/>
    <w:next w:val="1281"/>
    <w:uiPriority w:val="0"/>
    <w:qFormat/>
    <w:pPr>
      <w:ind w:left="440" w:right="100" w:firstLine="2760"/>
      <w:keepLines w:val="0"/>
      <w:keepNext w:val="0"/>
      <w:spacing w:before="0" w:after="0" w:line="360" w:lineRule="auto"/>
    </w:pPr>
    <w:rPr>
      <w:rFonts w:ascii="Times New Roman" w:hAnsi="Times New Roman" w:eastAsia="宋体" w:cs="Times New Roman"/>
      <w:color w:val="auto"/>
      <w:sz w:val="20"/>
      <w:szCs w:val="20"/>
    </w:rPr>
  </w:style>
  <w:style w:type="paragraph" w:styleId="1281" w:customStyle="1">
    <w:name w:val="xl67"/>
    <w:basedOn w:val="1014"/>
    <w:next w:val="1282"/>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282" w:customStyle="1">
    <w:name w:val="索引 61"/>
    <w:basedOn w:val="1014"/>
    <w:next w:val="1013"/>
    <w:uiPriority w:val="0"/>
    <w:qFormat/>
    <w:pPr>
      <w:ind w:left="1000"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283" w:customStyle="1">
    <w:name w:val="目录3"/>
    <w:basedOn w:val="1014"/>
    <w:next w:val="1013"/>
    <w:uiPriority w:val="0"/>
    <w:qFormat/>
    <w:pPr>
      <w:ind w:left="419" w:firstLine="5283"/>
      <w:keepLines w:val="0"/>
      <w:keepNext w:val="0"/>
      <w:spacing w:before="0" w:after="0" w:line="317" w:lineRule="atLeast"/>
    </w:pPr>
    <w:rPr>
      <w:rFonts w:ascii="Times New Roman" w:hAnsi="Times New Roman" w:eastAsia="宋体" w:cs="Times New Roman"/>
      <w:color w:val="auto"/>
      <w:sz w:val="20"/>
      <w:szCs w:val="20"/>
    </w:rPr>
  </w:style>
  <w:style w:type="paragraph" w:styleId="1284" w:customStyle="1">
    <w:name w:val="xl90"/>
    <w:basedOn w:val="1014"/>
    <w:next w:val="1285"/>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285" w:customStyle="1">
    <w:name w:val="列表框1"/>
    <w:next w:val="1276"/>
    <w:uiPriority w:val="0"/>
    <w:qFormat/>
    <w:pPr>
      <w:ind w:firstLine="2048"/>
      <w:spacing w:line="460" w:lineRule="exact"/>
    </w:pPr>
    <w:rPr>
      <w:rFonts w:ascii="Calibri" w:hAnsi="Calibri" w:eastAsia="宋体" w:cs="宋体"/>
      <w:lang w:val="en-US" w:eastAsia="zh-CN" w:bidi="ar-SA"/>
    </w:rPr>
  </w:style>
  <w:style w:type="paragraph" w:styleId="1286" w:customStyle="1">
    <w:name w:val="1ji"/>
    <w:basedOn w:val="1015"/>
    <w:next w:val="1265"/>
    <w:uiPriority w:val="0"/>
    <w:qFormat/>
    <w:pPr>
      <w:ind w:firstLine="18"/>
      <w:jc w:val="center"/>
      <w:keepLines w:val="0"/>
      <w:keepNext w:val="0"/>
      <w:spacing w:before="0" w:after="0"/>
      <w:outlineLvl w:val="0"/>
    </w:pPr>
    <w:rPr>
      <w:rFonts w:ascii="Times New Roman" w:hAnsi="Times New Roman" w:eastAsia="宋体" w:cs="Times New Roman"/>
      <w:color w:val="auto"/>
      <w:sz w:val="20"/>
      <w:szCs w:val="20"/>
    </w:rPr>
  </w:style>
  <w:style w:type="paragraph" w:styleId="1287" w:customStyle="1">
    <w:name w:val="索引 81"/>
    <w:basedOn w:val="1014"/>
    <w:next w:val="1013"/>
    <w:uiPriority w:val="0"/>
    <w:qFormat/>
    <w:pPr>
      <w:ind w:left="1400"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288" w:customStyle="1">
    <w:name w:val="正文1"/>
    <w:basedOn w:val="1013"/>
    <w:next w:val="1013"/>
    <w:uiPriority w:val="0"/>
    <w:qFormat/>
    <w:pPr>
      <w:spacing w:line="312" w:lineRule="atLeast"/>
    </w:pPr>
    <w:rPr>
      <w:rFonts w:ascii="楷体_GB2312" w:hAnsi="Times New Roman" w:eastAsia="楷体_GB2312" w:cs="Times New Roman"/>
      <w:sz w:val="24"/>
    </w:rPr>
  </w:style>
  <w:style w:type="paragraph" w:styleId="1289" w:customStyle="1">
    <w:name w:val="Char Char Char Char Char Char1 Char Char Char1 Char Char Char Char Char Char Char Char Char Char Char Char Char Char Char Char Char Char"/>
    <w:basedOn w:val="1014"/>
    <w:next w:val="1290"/>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290" w:customStyle="1">
    <w:name w:val="样式 加粗 居中11"/>
    <w:basedOn w:val="1014"/>
    <w:next w:val="1291"/>
    <w:uiPriority w:val="0"/>
    <w:qFormat/>
    <w:pPr>
      <w:ind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291" w:customStyle="1">
    <w:name w:val="xl89"/>
    <w:basedOn w:val="1014"/>
    <w:next w:val="1292"/>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292" w:customStyle="1">
    <w:name w:val="Char Char Char Char Char Char1 Char Char Char Char Char Char1 Char Char Char Char Char Char Char Char Char"/>
    <w:basedOn w:val="1014"/>
    <w:next w:val="1293"/>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293" w:customStyle="1">
    <w:name w:val="文章附标题"/>
    <w:basedOn w:val="1014"/>
    <w:next w:val="1014"/>
    <w:uiPriority w:val="0"/>
    <w:qFormat/>
    <w:pPr>
      <w:ind w:firstLine="5120"/>
      <w:jc w:val="center"/>
      <w:keepLines w:val="0"/>
      <w:keepNext w:val="0"/>
      <w:spacing w:before="187" w:after="175" w:line="374" w:lineRule="atLeast"/>
    </w:pPr>
    <w:rPr>
      <w:rFonts w:ascii="Times New Roman" w:hAnsi="Times New Roman" w:eastAsia="宋体" w:cs="Times New Roman"/>
      <w:color w:val="auto"/>
      <w:sz w:val="20"/>
      <w:szCs w:val="20"/>
    </w:rPr>
  </w:style>
  <w:style w:type="paragraph" w:styleId="1294" w:customStyle="1">
    <w:name w:val="Default Paragraph Font Para Char Char Char Char Char Char"/>
    <w:basedOn w:val="1014"/>
    <w:next w:val="1295"/>
    <w:uiPriority w:val="0"/>
    <w:qFormat/>
    <w:pPr>
      <w:ind w:firstLine="3584"/>
      <w:keepLines w:val="0"/>
      <w:keepNext w:val="0"/>
      <w:spacing w:before="0" w:after="160" w:line="240" w:lineRule="exact"/>
    </w:pPr>
    <w:rPr>
      <w:rFonts w:ascii="Times New Roman" w:hAnsi="Times New Roman" w:eastAsia="宋体" w:cs="Times New Roman"/>
      <w:color w:val="auto"/>
      <w:sz w:val="20"/>
      <w:szCs w:val="20"/>
    </w:rPr>
  </w:style>
  <w:style w:type="paragraph" w:styleId="1295" w:customStyle="1">
    <w:name w:val="xl23"/>
    <w:basedOn w:val="1014"/>
    <w:next w:val="1048"/>
    <w:uiPriority w:val="0"/>
    <w:qFormat/>
    <w:pPr>
      <w:ind w:firstLine="20"/>
      <w:keepLines w:val="0"/>
      <w:keepNext w:val="0"/>
      <w:spacing w:before="280" w:after="280"/>
      <w:shd w:val="clear" w:color="000000" w:fill="ffffff"/>
    </w:pPr>
    <w:rPr>
      <w:rFonts w:ascii="Times New Roman" w:hAnsi="Times New Roman" w:eastAsia="宋体" w:cs="Times New Roman"/>
      <w:color w:val="auto"/>
      <w:sz w:val="20"/>
      <w:szCs w:val="20"/>
    </w:rPr>
  </w:style>
  <w:style w:type="paragraph" w:styleId="1296" w:customStyle="1">
    <w:name w:val="列出段落11"/>
    <w:basedOn w:val="1014"/>
    <w:next w:val="1297"/>
    <w:uiPriority w:val="0"/>
    <w:qFormat/>
    <w:pPr>
      <w:ind w:left="420" w:firstLine="3748"/>
      <w:keepLines w:val="0"/>
      <w:keepNext w:val="0"/>
      <w:spacing w:before="0" w:after="0"/>
    </w:pPr>
    <w:rPr>
      <w:rFonts w:ascii="Times New Roman" w:hAnsi="Times New Roman" w:eastAsia="宋体" w:cs="Times New Roman"/>
      <w:color w:val="auto"/>
      <w:sz w:val="20"/>
      <w:szCs w:val="20"/>
    </w:rPr>
  </w:style>
  <w:style w:type="paragraph" w:styleId="1297" w:customStyle="1">
    <w:name w:val="样式 标题 2 + (西文) 宋体 非加粗 居中"/>
    <w:basedOn w:val="1016"/>
    <w:next w:val="1298"/>
    <w:uiPriority w:val="0"/>
    <w:qFormat/>
    <w:pPr>
      <w:ind w:firstLine="24"/>
      <w:jc w:val="center"/>
      <w:keepLines w:val="0"/>
      <w:keepNext w:val="0"/>
      <w:spacing w:before="260" w:after="260" w:line="412" w:lineRule="auto"/>
      <w:outlineLvl w:val="1"/>
    </w:pPr>
    <w:rPr>
      <w:rFonts w:ascii="Times New Roman" w:hAnsi="Times New Roman" w:eastAsia="宋体" w:cs="Times New Roman"/>
      <w:color w:val="auto"/>
      <w:sz w:val="20"/>
      <w:szCs w:val="20"/>
    </w:rPr>
  </w:style>
  <w:style w:type="paragraph" w:styleId="1298" w:customStyle="1">
    <w:name w:val="页脚 Char Char"/>
    <w:basedOn w:val="1014"/>
    <w:next w:val="1299"/>
    <w:uiPriority w:val="0"/>
    <w:qFormat/>
    <w:pPr>
      <w:ind w:firstLine="5120"/>
      <w:keepLines w:val="0"/>
      <w:keepNext w:val="0"/>
      <w:spacing w:before="0" w:after="0"/>
    </w:pPr>
    <w:rPr>
      <w:rFonts w:ascii="Times New Roman" w:hAnsi="Times New Roman" w:eastAsia="宋体" w:cs="Times New Roman"/>
      <w:color w:val="auto"/>
      <w:sz w:val="20"/>
      <w:szCs w:val="20"/>
    </w:rPr>
  </w:style>
  <w:style w:type="paragraph" w:styleId="1299" w:customStyle="1">
    <w:name w:val="样式 标题 1 + 段前: 16 磅 段后: 16 磅"/>
    <w:basedOn w:val="1015"/>
    <w:next w:val="1300"/>
    <w:uiPriority w:val="0"/>
    <w:qFormat/>
    <w:pPr>
      <w:ind w:firstLine="18"/>
      <w:jc w:val="center"/>
      <w:keepLines w:val="0"/>
      <w:keepNext w:val="0"/>
      <w:spacing w:before="120" w:after="0" w:line="360" w:lineRule="auto"/>
      <w:outlineLvl w:val="0"/>
    </w:pPr>
    <w:rPr>
      <w:rFonts w:ascii="Times New Roman" w:hAnsi="Times New Roman" w:eastAsia="宋体" w:cs="Times New Roman"/>
      <w:color w:val="auto"/>
      <w:sz w:val="20"/>
      <w:szCs w:val="20"/>
    </w:rPr>
  </w:style>
  <w:style w:type="paragraph" w:styleId="1300" w:customStyle="1">
    <w:name w:val="Char1 Char Char Char Char Char Char"/>
    <w:basedOn w:val="1014"/>
    <w:next w:val="1301"/>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301" w:customStyle="1">
    <w:name w:val="文档标题4"/>
    <w:basedOn w:val="1018"/>
    <w:next w:val="1013"/>
    <w:uiPriority w:val="0"/>
    <w:qFormat/>
    <w:pPr>
      <w:ind w:left="851" w:firstLine="30"/>
      <w:keepLines w:val="0"/>
      <w:keepNext w:val="0"/>
      <w:spacing w:before="280" w:after="280" w:line="360" w:lineRule="auto"/>
      <w:outlineLvl w:val="3"/>
    </w:pPr>
    <w:rPr>
      <w:rFonts w:ascii="Times New Roman" w:hAnsi="Times New Roman" w:cs="Times New Roman"/>
      <w:color w:val="auto"/>
      <w:sz w:val="20"/>
    </w:rPr>
  </w:style>
  <w:style w:type="paragraph" w:styleId="1302" w:customStyle="1">
    <w:name w:val="font0"/>
    <w:basedOn w:val="1014"/>
    <w:next w:val="1278"/>
    <w:uiPriority w:val="0"/>
    <w:qFormat/>
    <w:pPr>
      <w:ind w:firstLine="1024"/>
      <w:keepLines w:val="0"/>
      <w:keepNext w:val="0"/>
      <w:spacing w:before="280" w:after="280"/>
    </w:pPr>
    <w:rPr>
      <w:rFonts w:ascii="Times New Roman" w:hAnsi="Times New Roman" w:eastAsia="宋体" w:cs="Times New Roman"/>
      <w:color w:val="auto"/>
      <w:sz w:val="20"/>
      <w:szCs w:val="20"/>
    </w:rPr>
  </w:style>
  <w:style w:type="paragraph" w:styleId="1303" w:customStyle="1">
    <w:name w:val="CM5"/>
    <w:basedOn w:val="1014"/>
    <w:next w:val="1013"/>
    <w:uiPriority w:val="0"/>
    <w:qFormat/>
    <w:pPr>
      <w:ind w:left="200" w:firstLine="2760"/>
      <w:keepLines w:val="0"/>
      <w:keepNext w:val="0"/>
      <w:spacing w:before="0" w:after="0" w:line="400" w:lineRule="atLeast"/>
    </w:pPr>
    <w:rPr>
      <w:rFonts w:ascii="Times New Roman" w:hAnsi="Times New Roman" w:eastAsia="宋体" w:cs="Times New Roman"/>
      <w:color w:val="auto"/>
      <w:sz w:val="20"/>
      <w:szCs w:val="20"/>
    </w:rPr>
  </w:style>
  <w:style w:type="paragraph" w:styleId="1304" w:customStyle="1">
    <w:name w:val="Pa0"/>
    <w:basedOn w:val="1014"/>
    <w:next w:val="1013"/>
    <w:uiPriority w:val="0"/>
    <w:qFormat/>
    <w:pPr>
      <w:ind w:firstLine="4608"/>
      <w:keepLines w:val="0"/>
      <w:keepNext w:val="0"/>
      <w:spacing w:before="0" w:after="0" w:line="241" w:lineRule="atLeast"/>
    </w:pPr>
    <w:rPr>
      <w:rFonts w:ascii="Times New Roman" w:hAnsi="Times New Roman" w:eastAsia="宋体" w:cs="Times New Roman"/>
      <w:color w:val="auto"/>
      <w:sz w:val="20"/>
      <w:szCs w:val="20"/>
    </w:rPr>
  </w:style>
  <w:style w:type="paragraph" w:styleId="1305" w:customStyle="1">
    <w:name w:val="招标文件》"/>
    <w:basedOn w:val="1014"/>
    <w:next w:val="1242"/>
    <w:uiPriority w:val="0"/>
    <w:qFormat/>
    <w:pPr>
      <w:ind w:left="420" w:firstLine="2140"/>
      <w:keepLines w:val="0"/>
      <w:keepNext w:val="0"/>
      <w:spacing w:before="120" w:after="120" w:line="300" w:lineRule="auto"/>
    </w:pPr>
    <w:rPr>
      <w:rFonts w:ascii="Times New Roman" w:hAnsi="Times New Roman" w:eastAsia="宋体" w:cs="Times New Roman"/>
      <w:color w:val="auto"/>
      <w:sz w:val="20"/>
      <w:szCs w:val="20"/>
    </w:rPr>
  </w:style>
  <w:style w:type="paragraph" w:styleId="1306" w:customStyle="1">
    <w:name w:val="段"/>
    <w:next w:val="1013"/>
    <w:uiPriority w:val="0"/>
    <w:qFormat/>
    <w:pPr>
      <w:ind w:firstLine="200"/>
      <w:jc w:val="both"/>
      <w:spacing w:line="360" w:lineRule="auto"/>
    </w:pPr>
    <w:rPr>
      <w:rFonts w:ascii="宋体" w:hAnsi="宋体" w:eastAsia="宋体" w:cs="宋体"/>
      <w:sz w:val="24"/>
      <w:szCs w:val="22"/>
      <w:lang w:val="en-US" w:eastAsia="zh-CN" w:bidi="ar-SA"/>
    </w:rPr>
  </w:style>
  <w:style w:type="paragraph" w:styleId="1307" w:customStyle="1">
    <w:name w:val="标书_正文"/>
    <w:basedOn w:val="1014"/>
    <w:next w:val="1308"/>
    <w:uiPriority w:val="0"/>
    <w:qFormat/>
    <w:pPr>
      <w:ind w:left="420" w:firstLine="1188"/>
      <w:keepLines w:val="0"/>
      <w:keepNext w:val="0"/>
      <w:spacing w:before="0" w:after="0" w:line="360" w:lineRule="auto"/>
    </w:pPr>
    <w:rPr>
      <w:rFonts w:ascii="Times New Roman" w:hAnsi="Times New Roman" w:eastAsia="宋体" w:cs="Times New Roman"/>
      <w:color w:val="auto"/>
      <w:sz w:val="20"/>
      <w:szCs w:val="20"/>
    </w:rPr>
  </w:style>
  <w:style w:type="paragraph" w:styleId="1308" w:customStyle="1">
    <w:name w:val="样式 标题 2 + Times New Roman 四号 非加粗 段前: 5 磅 段后: 0 磅 行距: 固定值 20..."/>
    <w:basedOn w:val="1016"/>
    <w:next w:val="1257"/>
    <w:uiPriority w:val="0"/>
    <w:qFormat/>
    <w:pPr>
      <w:ind w:firstLine="24"/>
      <w:keepLines w:val="0"/>
      <w:keepNext w:val="0"/>
      <w:spacing w:before="100" w:after="0" w:line="400" w:lineRule="exact"/>
      <w:outlineLvl w:val="1"/>
    </w:pPr>
    <w:rPr>
      <w:rFonts w:ascii="Times New Roman" w:hAnsi="Times New Roman" w:eastAsia="宋体" w:cs="Times New Roman"/>
      <w:color w:val="auto"/>
      <w:sz w:val="20"/>
      <w:szCs w:val="20"/>
    </w:rPr>
  </w:style>
  <w:style w:type="paragraph" w:styleId="1309" w:customStyle="1">
    <w:name w:val="图片0"/>
    <w:basedOn w:val="1014"/>
    <w:next w:val="1058"/>
    <w:uiPriority w:val="0"/>
    <w:qFormat/>
    <w:pPr>
      <w:ind w:left="-161" w:firstLine="1187"/>
      <w:keepLines w:val="0"/>
      <w:keepNext w:val="0"/>
      <w:spacing w:before="0" w:after="0" w:line="276" w:lineRule="auto"/>
    </w:pPr>
    <w:rPr>
      <w:rFonts w:ascii="Times New Roman" w:hAnsi="Times New Roman" w:eastAsia="宋体" w:cs="Times New Roman"/>
      <w:color w:val="auto"/>
      <w:sz w:val="20"/>
      <w:szCs w:val="20"/>
    </w:rPr>
  </w:style>
  <w:style w:type="paragraph" w:styleId="1310" w:customStyle="1">
    <w:name w:val="Char Char Char2 Char Char Char2 Char"/>
    <w:basedOn w:val="1014"/>
    <w:next w:val="1283"/>
    <w:uiPriority w:val="0"/>
    <w:qFormat/>
    <w:pPr>
      <w:ind w:left="560" w:firstLine="3632"/>
      <w:keepLines w:val="0"/>
      <w:keepNext w:val="0"/>
      <w:spacing w:before="0" w:after="160" w:line="240" w:lineRule="exact"/>
    </w:pPr>
    <w:rPr>
      <w:rFonts w:ascii="Times New Roman" w:hAnsi="Times New Roman" w:eastAsia="宋体" w:cs="Times New Roman"/>
      <w:color w:val="auto"/>
      <w:sz w:val="20"/>
      <w:szCs w:val="20"/>
    </w:rPr>
  </w:style>
  <w:style w:type="paragraph" w:styleId="1311" w:customStyle="1">
    <w:name w:val="Char Char Char Char"/>
    <w:next w:val="1312"/>
    <w:uiPriority w:val="0"/>
    <w:qFormat/>
    <w:pPr>
      <w:ind w:firstLine="10"/>
      <w:spacing w:line="360" w:lineRule="auto"/>
      <w:shd w:val="clear" w:color="000000" w:fill="000080"/>
    </w:pPr>
    <w:rPr>
      <w:rFonts w:ascii="Calibri" w:hAnsi="Calibri" w:eastAsia="宋体" w:cs="宋体"/>
      <w:lang w:val="en-US" w:eastAsia="zh-CN" w:bidi="ar-SA"/>
    </w:rPr>
  </w:style>
  <w:style w:type="paragraph" w:styleId="1312" w:customStyle="1">
    <w:name w:val="杨昂超式样黑体主"/>
    <w:basedOn w:val="1014"/>
    <w:next w:val="1313"/>
    <w:uiPriority w:val="0"/>
    <w:qFormat/>
    <w:pPr>
      <w:ind w:firstLine="4608"/>
      <w:keepLines w:val="0"/>
      <w:keepNext w:val="0"/>
      <w:spacing w:before="0" w:after="0"/>
    </w:pPr>
    <w:rPr>
      <w:rFonts w:ascii="Times New Roman" w:hAnsi="Times New Roman" w:eastAsia="宋体" w:cs="Times New Roman"/>
      <w:color w:val="auto"/>
      <w:sz w:val="20"/>
      <w:szCs w:val="20"/>
    </w:rPr>
  </w:style>
  <w:style w:type="paragraph" w:styleId="1313" w:customStyle="1">
    <w:name w:val="Char Char Char Char Char Char1 Char Char Char Char Char Char Char Char Char Char"/>
    <w:basedOn w:val="1014"/>
    <w:next w:val="1314"/>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314" w:customStyle="1">
    <w:name w:val="目录1"/>
    <w:basedOn w:val="1014"/>
    <w:next w:val="1013"/>
    <w:uiPriority w:val="0"/>
    <w:qFormat/>
    <w:pPr>
      <w:ind w:firstLine="7168"/>
      <w:keepLines w:val="0"/>
      <w:keepNext w:val="0"/>
      <w:spacing w:before="0" w:after="136" w:line="289" w:lineRule="atLeast"/>
    </w:pPr>
    <w:rPr>
      <w:rFonts w:ascii="Times New Roman" w:hAnsi="Times New Roman" w:eastAsia="宋体" w:cs="Times New Roman"/>
      <w:color w:val="auto"/>
      <w:sz w:val="20"/>
      <w:szCs w:val="20"/>
    </w:rPr>
  </w:style>
  <w:style w:type="paragraph" w:styleId="1315" w:customStyle="1">
    <w:name w:val="文档结构图1"/>
    <w:basedOn w:val="1014"/>
    <w:next w:val="1316"/>
    <w:uiPriority w:val="0"/>
    <w:qFormat/>
    <w:pPr>
      <w:ind w:left="200" w:firstLine="2248"/>
      <w:keepLines w:val="0"/>
      <w:keepNext w:val="0"/>
      <w:spacing w:before="0" w:after="0" w:line="360" w:lineRule="auto"/>
    </w:pPr>
    <w:rPr>
      <w:rFonts w:ascii="Times New Roman" w:hAnsi="Times New Roman" w:eastAsia="宋体" w:cs="Times New Roman"/>
      <w:color w:val="auto"/>
      <w:sz w:val="20"/>
      <w:szCs w:val="20"/>
    </w:rPr>
  </w:style>
  <w:style w:type="paragraph" w:styleId="1316" w:customStyle="1">
    <w:name w:val="2ji"/>
    <w:basedOn w:val="1016"/>
    <w:next w:val="1054"/>
    <w:uiPriority w:val="0"/>
    <w:qFormat/>
    <w:pPr>
      <w:ind w:firstLine="24"/>
      <w:keepLines w:val="0"/>
      <w:keepNext w:val="0"/>
      <w:spacing w:before="0" w:after="0" w:line="360" w:lineRule="auto"/>
      <w:outlineLvl w:val="1"/>
    </w:pPr>
    <w:rPr>
      <w:rFonts w:ascii="Times New Roman" w:hAnsi="Times New Roman" w:eastAsia="宋体" w:cs="Times New Roman"/>
      <w:color w:val="auto"/>
      <w:sz w:val="20"/>
      <w:szCs w:val="20"/>
    </w:rPr>
  </w:style>
  <w:style w:type="paragraph" w:styleId="1317" w:customStyle="1">
    <w:name w:val="xl91"/>
    <w:basedOn w:val="1014"/>
    <w:next w:val="1239"/>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318" w:customStyle="1">
    <w:name w:val="Text Body"/>
    <w:basedOn w:val="1014"/>
    <w:next w:val="1319"/>
    <w:uiPriority w:val="0"/>
    <w:qFormat/>
    <w:pPr>
      <w:ind w:firstLine="4096"/>
      <w:keepLines w:val="0"/>
      <w:keepNext w:val="0"/>
      <w:spacing w:before="0" w:after="120"/>
    </w:pPr>
    <w:rPr>
      <w:rFonts w:ascii="Times New Roman" w:hAnsi="Times New Roman" w:eastAsia="宋体" w:cs="Times New Roman"/>
      <w:color w:val="auto"/>
      <w:sz w:val="20"/>
      <w:szCs w:val="20"/>
    </w:rPr>
  </w:style>
  <w:style w:type="paragraph" w:styleId="1319" w:customStyle="1">
    <w:name w:val="项目符1"/>
    <w:basedOn w:val="1014"/>
    <w:next w:val="1320"/>
    <w:uiPriority w:val="0"/>
    <w:qFormat/>
    <w:pPr>
      <w:ind w:left="1365" w:right="100" w:firstLine="2728"/>
      <w:keepLines w:val="0"/>
      <w:keepNext w:val="0"/>
      <w:spacing w:before="78" w:after="78" w:line="300" w:lineRule="auto"/>
    </w:pPr>
    <w:rPr>
      <w:rFonts w:ascii="Times New Roman" w:hAnsi="Times New Roman" w:eastAsia="宋体" w:cs="Times New Roman"/>
      <w:color w:val="auto"/>
      <w:sz w:val="20"/>
      <w:szCs w:val="20"/>
    </w:rPr>
  </w:style>
  <w:style w:type="paragraph" w:styleId="1320" w:customStyle="1">
    <w:name w:val="引文目录标题1"/>
    <w:basedOn w:val="1014"/>
    <w:next w:val="1013"/>
    <w:uiPriority w:val="0"/>
    <w:qFormat/>
    <w:pPr>
      <w:ind w:firstLine="4608"/>
      <w:jc w:val="center"/>
      <w:keepLines w:val="0"/>
      <w:keepNext w:val="0"/>
      <w:spacing w:before="120" w:after="0" w:line="360" w:lineRule="auto"/>
    </w:pPr>
    <w:rPr>
      <w:rFonts w:ascii="Times New Roman" w:hAnsi="Times New Roman" w:eastAsia="宋体" w:cs="Times New Roman"/>
      <w:color w:val="auto"/>
      <w:sz w:val="20"/>
      <w:szCs w:val="20"/>
    </w:rPr>
  </w:style>
  <w:style w:type="paragraph" w:styleId="1321" w:customStyle="1">
    <w:name w:val="样式 标题 3 + (西文) 黑体 (中文) 黑体 (符号) 宋体 小四 段前: 5 磅 段后: 5 磅 行距: 1..."/>
    <w:basedOn w:val="1017"/>
    <w:next w:val="1322"/>
    <w:uiPriority w:val="0"/>
    <w:qFormat/>
    <w:pPr>
      <w:ind w:left="1429" w:firstLine="18"/>
      <w:keepLines w:val="0"/>
      <w:keepNext w:val="0"/>
      <w:spacing w:before="100" w:after="100" w:line="360" w:lineRule="auto"/>
      <w:outlineLvl w:val="2"/>
    </w:pPr>
    <w:rPr>
      <w:rFonts w:ascii="Times New Roman" w:hAnsi="Times New Roman" w:cs="Times New Roman"/>
      <w:color w:val="auto"/>
      <w:sz w:val="20"/>
      <w:szCs w:val="20"/>
    </w:rPr>
  </w:style>
  <w:style w:type="paragraph" w:styleId="1322" w:customStyle="1">
    <w:name w:val="xl22"/>
    <w:basedOn w:val="1014"/>
    <w:next w:val="1323"/>
    <w:uiPriority w:val="0"/>
    <w:qFormat/>
    <w:pPr>
      <w:ind w:firstLine="20"/>
      <w:jc w:val="right"/>
      <w:keepLines w:val="0"/>
      <w:keepNext w:val="0"/>
      <w:spacing w:before="280" w:after="280"/>
      <w:shd w:val="clear" w:color="000000" w:fill="ffffff"/>
    </w:pPr>
    <w:rPr>
      <w:rFonts w:ascii="Times New Roman" w:hAnsi="Times New Roman" w:eastAsia="宋体" w:cs="Times New Roman"/>
      <w:color w:val="auto"/>
      <w:sz w:val="20"/>
      <w:szCs w:val="20"/>
    </w:rPr>
  </w:style>
  <w:style w:type="paragraph" w:styleId="1323" w:customStyle="1">
    <w:name w:val="自定义一"/>
    <w:basedOn w:val="1014"/>
    <w:next w:val="1013"/>
    <w:uiPriority w:val="0"/>
    <w:qFormat/>
    <w:pPr>
      <w:ind w:firstLine="18"/>
      <w:keepLines w:val="0"/>
      <w:keepNext w:val="0"/>
      <w:spacing w:before="0" w:after="0" w:line="360" w:lineRule="auto"/>
    </w:pPr>
    <w:rPr>
      <w:rFonts w:ascii="Times New Roman" w:hAnsi="Times New Roman" w:eastAsia="宋体" w:cs="Times New Roman"/>
      <w:color w:val="auto"/>
      <w:sz w:val="20"/>
      <w:szCs w:val="20"/>
    </w:rPr>
  </w:style>
  <w:style w:type="paragraph" w:styleId="1324" w:customStyle="1">
    <w:name w:val="xl78"/>
    <w:basedOn w:val="1014"/>
    <w:next w:val="1325"/>
    <w:uiPriority w:val="0"/>
    <w:qFormat/>
    <w:pPr>
      <w:ind w:firstLine="3584"/>
      <w:jc w:val="center"/>
      <w:keepLines w:val="0"/>
      <w:keepNext w:val="0"/>
      <w:spacing w:before="280" w:after="280"/>
    </w:pPr>
    <w:rPr>
      <w:rFonts w:ascii="Times New Roman" w:hAnsi="Times New Roman" w:eastAsia="宋体" w:cs="Times New Roman"/>
      <w:color w:val="auto"/>
      <w:sz w:val="20"/>
      <w:szCs w:val="20"/>
    </w:rPr>
  </w:style>
  <w:style w:type="paragraph" w:styleId="1325" w:customStyle="1">
    <w:name w:val="段落正文"/>
    <w:next w:val="1268"/>
    <w:uiPriority w:val="0"/>
    <w:qFormat/>
    <w:pPr>
      <w:ind w:firstLine="4608"/>
      <w:jc w:val="center"/>
      <w:spacing w:line="360" w:lineRule="auto"/>
    </w:pPr>
    <w:rPr>
      <w:rFonts w:ascii="Calibri" w:hAnsi="Calibri" w:eastAsia="宋体" w:cs="宋体"/>
      <w:lang w:val="en-US" w:eastAsia="zh-CN" w:bidi="ar-SA"/>
    </w:rPr>
  </w:style>
  <w:style w:type="paragraph" w:styleId="1326" w:customStyle="1">
    <w:name w:val="_Style 169"/>
    <w:next w:val="1013"/>
    <w:uiPriority w:val="0"/>
    <w:qFormat/>
    <w:pPr>
      <w:ind w:left="2560"/>
    </w:pPr>
    <w:rPr>
      <w:rFonts w:ascii="Calibri" w:hAnsi="Calibri" w:eastAsia="宋体" w:cs="宋体"/>
      <w:lang w:val="en-US" w:eastAsia="zh-CN" w:bidi="ar-SA"/>
    </w:rPr>
  </w:style>
  <w:style w:type="paragraph" w:styleId="1327" w:customStyle="1">
    <w:name w:val="样式 小四 行距: 1.5 倍行距 首行缩进:  2 字符"/>
    <w:basedOn w:val="1014"/>
    <w:next w:val="1273"/>
    <w:uiPriority w:val="0"/>
    <w:qFormat/>
    <w:pPr>
      <w:ind w:left="480" w:firstLine="2784"/>
      <w:keepLines w:val="0"/>
      <w:keepNext w:val="0"/>
      <w:spacing w:before="0" w:after="0" w:line="360" w:lineRule="auto"/>
    </w:pPr>
    <w:rPr>
      <w:rFonts w:ascii="Times New Roman" w:hAnsi="Times New Roman" w:eastAsia="宋体" w:cs="Times New Roman"/>
      <w:color w:val="auto"/>
      <w:sz w:val="20"/>
      <w:szCs w:val="20"/>
    </w:rPr>
  </w:style>
  <w:style w:type="paragraph" w:styleId="1328" w:customStyle="1">
    <w:name w:val="小节标题"/>
    <w:basedOn w:val="1014"/>
    <w:next w:val="1013"/>
    <w:uiPriority w:val="0"/>
    <w:qFormat/>
    <w:pPr>
      <w:ind w:firstLine="7168"/>
      <w:keepLines w:val="0"/>
      <w:keepNext w:val="0"/>
      <w:spacing w:before="175" w:after="102" w:line="351" w:lineRule="atLeast"/>
    </w:pPr>
    <w:rPr>
      <w:rFonts w:ascii="Times New Roman" w:hAnsi="Times New Roman" w:eastAsia="宋体" w:cs="Times New Roman"/>
      <w:color w:val="auto"/>
      <w:sz w:val="20"/>
      <w:szCs w:val="20"/>
    </w:rPr>
  </w:style>
  <w:style w:type="paragraph" w:styleId="1329" w:customStyle="1">
    <w:name w:val="TOC 标题2"/>
    <w:basedOn w:val="1014"/>
    <w:next w:val="1013"/>
    <w:uiPriority w:val="0"/>
    <w:qFormat/>
    <w:pPr>
      <w:spacing w:before="240" w:after="0" w:line="259" w:lineRule="auto"/>
      <w:outlineLvl w:val="9"/>
    </w:pPr>
    <w:rPr>
      <w:rFonts w:ascii="Cambria" w:hAnsi="Cambria" w:eastAsia="宋体" w:cs="Times New Roman"/>
      <w:color w:val="365f91"/>
      <w:sz w:val="32"/>
      <w:szCs w:val="32"/>
    </w:rPr>
  </w:style>
  <w:style w:type="paragraph" w:styleId="1330" w:customStyle="1">
    <w:name w:val="表格文字（两侧对齐）"/>
    <w:basedOn w:val="1014"/>
    <w:next w:val="1331"/>
    <w:uiPriority w:val="0"/>
    <w:qFormat/>
    <w:pPr>
      <w:ind w:firstLine="3584"/>
      <w:keepLines w:val="0"/>
      <w:keepNext w:val="0"/>
      <w:spacing w:before="0" w:after="0"/>
    </w:pPr>
    <w:rPr>
      <w:rFonts w:ascii="Times New Roman" w:hAnsi="Times New Roman" w:eastAsia="宋体" w:cs="Times New Roman"/>
      <w:color w:val="auto"/>
      <w:sz w:val="20"/>
      <w:szCs w:val="20"/>
    </w:rPr>
  </w:style>
  <w:style w:type="paragraph" w:styleId="1331" w:customStyle="1">
    <w:name w:val="Char"/>
    <w:basedOn w:val="1014"/>
    <w:next w:val="1310"/>
    <w:uiPriority w:val="0"/>
    <w:qFormat/>
    <w:pPr>
      <w:ind w:left="900" w:firstLine="2608"/>
      <w:keepLines w:val="0"/>
      <w:keepNext w:val="0"/>
      <w:spacing w:before="0" w:after="0"/>
    </w:pPr>
    <w:rPr>
      <w:rFonts w:ascii="Times New Roman" w:hAnsi="Times New Roman" w:eastAsia="宋体" w:cs="Times New Roman"/>
      <w:color w:val="auto"/>
      <w:sz w:val="20"/>
      <w:szCs w:val="20"/>
    </w:rPr>
  </w:style>
  <w:style w:type="paragraph" w:styleId="1332" w:customStyle="1">
    <w:name w:val="xl86"/>
    <w:basedOn w:val="1014"/>
    <w:next w:val="1333"/>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333" w:customStyle="1">
    <w:name w:val="索引 71"/>
    <w:basedOn w:val="1014"/>
    <w:next w:val="1013"/>
    <w:uiPriority w:val="0"/>
    <w:qFormat/>
    <w:pPr>
      <w:ind w:left="1200"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334" w:customStyle="1">
    <w:name w:val="111"/>
    <w:next w:val="1335"/>
    <w:uiPriority w:val="0"/>
    <w:qFormat/>
    <w:pPr>
      <w:ind w:left="480" w:firstLine="4320"/>
      <w:spacing w:line="440" w:lineRule="exact"/>
    </w:pPr>
    <w:rPr>
      <w:rFonts w:ascii="Calibri" w:hAnsi="Calibri" w:eastAsia="宋体" w:cs="宋体"/>
      <w:lang w:val="en-US" w:eastAsia="zh-CN" w:bidi="ar-SA"/>
    </w:rPr>
  </w:style>
  <w:style w:type="paragraph" w:styleId="1335" w:customStyle="1">
    <w:name w:val="4"/>
    <w:basedOn w:val="1014"/>
    <w:next w:val="1025"/>
    <w:uiPriority w:val="0"/>
    <w:qFormat/>
    <w:pPr>
      <w:ind w:left="409" w:firstLine="3737"/>
      <w:keepLines w:val="0"/>
      <w:keepNext w:val="0"/>
      <w:spacing w:before="0" w:after="0" w:line="420" w:lineRule="exact"/>
    </w:pPr>
    <w:rPr>
      <w:rFonts w:ascii="Times New Roman" w:hAnsi="Times New Roman" w:eastAsia="宋体" w:cs="Times New Roman"/>
      <w:color w:val="auto"/>
      <w:sz w:val="20"/>
      <w:szCs w:val="20"/>
    </w:rPr>
  </w:style>
  <w:style w:type="paragraph" w:styleId="1336" w:customStyle="1">
    <w:name w:val="Char Char Char Char Char Char1 Char Char Char1 Char Char Char Char Char Char"/>
    <w:basedOn w:val="1014"/>
    <w:next w:val="1321"/>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337" w:customStyle="1">
    <w:name w:val="Char Char Char Char Char Char1 Char Char Char Char Char Char1 Char Char Char"/>
    <w:basedOn w:val="1014"/>
    <w:next w:val="1338"/>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338" w:customStyle="1">
    <w:name w:val="正文符号1"/>
    <w:basedOn w:val="1014"/>
    <w:next w:val="1339"/>
    <w:uiPriority w:val="0"/>
    <w:qFormat/>
    <w:pPr>
      <w:ind w:left="987" w:firstLine="5724"/>
      <w:keepLines w:val="0"/>
      <w:keepNext w:val="0"/>
      <w:spacing w:before="0" w:after="0"/>
    </w:pPr>
    <w:rPr>
      <w:rFonts w:ascii="Times New Roman" w:hAnsi="Times New Roman" w:eastAsia="宋体" w:cs="Times New Roman"/>
      <w:color w:val="auto"/>
      <w:sz w:val="20"/>
      <w:szCs w:val="20"/>
    </w:rPr>
  </w:style>
  <w:style w:type="paragraph" w:styleId="1339" w:customStyle="1">
    <w:name w:val="索引 31"/>
    <w:basedOn w:val="1014"/>
    <w:next w:val="1013"/>
    <w:uiPriority w:val="0"/>
    <w:qFormat/>
    <w:pPr>
      <w:ind w:left="400"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340" w:customStyle="1">
    <w:name w:val="目录4"/>
    <w:basedOn w:val="1014"/>
    <w:next w:val="1013"/>
    <w:uiPriority w:val="0"/>
    <w:qFormat/>
    <w:pPr>
      <w:ind w:left="629" w:firstLine="5237"/>
      <w:keepLines w:val="0"/>
      <w:keepNext w:val="0"/>
      <w:spacing w:before="0" w:after="0" w:line="317" w:lineRule="atLeast"/>
    </w:pPr>
    <w:rPr>
      <w:rFonts w:ascii="Times New Roman" w:hAnsi="Times New Roman" w:eastAsia="宋体" w:cs="Times New Roman"/>
      <w:color w:val="auto"/>
      <w:sz w:val="20"/>
      <w:szCs w:val="20"/>
    </w:rPr>
  </w:style>
  <w:style w:type="paragraph" w:styleId="1341" w:customStyle="1">
    <w:name w:val="p15"/>
    <w:basedOn w:val="1013"/>
    <w:uiPriority w:val="0"/>
    <w:qFormat/>
    <w:pPr>
      <w:ind w:left="0"/>
    </w:pPr>
    <w:rPr>
      <w:rFonts w:ascii="宋体" w:hAnsi="宋体"/>
      <w:sz w:val="28"/>
      <w:szCs w:val="28"/>
    </w:rPr>
  </w:style>
  <w:style w:type="paragraph" w:styleId="1342" w:customStyle="1">
    <w:name w:val="四号 居中"/>
    <w:basedOn w:val="1014"/>
    <w:next w:val="1336"/>
    <w:uiPriority w:val="0"/>
    <w:qFormat/>
    <w:pPr>
      <w:ind w:firstLine="6144"/>
      <w:jc w:val="center"/>
      <w:keepLines w:val="0"/>
      <w:keepNext w:val="0"/>
      <w:spacing w:before="0" w:after="0" w:line="360" w:lineRule="auto"/>
    </w:pPr>
    <w:rPr>
      <w:rFonts w:ascii="Times New Roman" w:hAnsi="Times New Roman" w:eastAsia="宋体" w:cs="Times New Roman"/>
      <w:color w:val="auto"/>
      <w:sz w:val="20"/>
      <w:szCs w:val="20"/>
    </w:rPr>
  </w:style>
  <w:style w:type="paragraph" w:styleId="1343" w:customStyle="1">
    <w:name w:val="p0"/>
    <w:next w:val="1013"/>
    <w:uiPriority w:val="0"/>
    <w:qFormat/>
    <w:pPr>
      <w:ind w:firstLine="2048"/>
      <w:spacing w:line="360" w:lineRule="auto"/>
    </w:pPr>
    <w:rPr>
      <w:rFonts w:ascii="Calibri" w:hAnsi="Calibri" w:eastAsia="宋体" w:cs="宋体"/>
      <w:lang w:val="en-US" w:eastAsia="zh-CN" w:bidi="ar-SA"/>
    </w:rPr>
  </w:style>
  <w:style w:type="paragraph" w:styleId="1344" w:customStyle="1">
    <w:name w:val="列表编号 21"/>
    <w:basedOn w:val="1014"/>
    <w:next w:val="1345"/>
    <w:uiPriority w:val="0"/>
    <w:qFormat/>
    <w:pPr>
      <w:ind w:firstLine="2560"/>
      <w:keepLines w:val="0"/>
      <w:keepNext w:val="0"/>
      <w:spacing w:before="0" w:after="0" w:line="360" w:lineRule="auto"/>
    </w:pPr>
    <w:rPr>
      <w:rFonts w:ascii="Times New Roman" w:hAnsi="Times New Roman" w:eastAsia="宋体" w:cs="Times New Roman"/>
      <w:color w:val="auto"/>
      <w:sz w:val="20"/>
      <w:szCs w:val="20"/>
    </w:rPr>
  </w:style>
  <w:style w:type="paragraph" w:styleId="1345" w:customStyle="1">
    <w:name w:val="正文文本 21"/>
    <w:basedOn w:val="1014"/>
    <w:next w:val="1227"/>
    <w:uiPriority w:val="0"/>
    <w:qFormat/>
    <w:pPr>
      <w:ind w:firstLine="2560"/>
      <w:jc w:val="center"/>
      <w:keepLines w:val="0"/>
      <w:keepNext w:val="0"/>
      <w:spacing w:before="0" w:after="120" w:line="480" w:lineRule="auto"/>
    </w:pPr>
    <w:rPr>
      <w:rFonts w:ascii="Times New Roman" w:hAnsi="Times New Roman" w:eastAsia="宋体" w:cs="Times New Roman"/>
      <w:color w:val="auto"/>
      <w:sz w:val="20"/>
      <w:szCs w:val="20"/>
    </w:rPr>
  </w:style>
  <w:style w:type="paragraph" w:styleId="1346" w:customStyle="1">
    <w:name w:val="a2"/>
    <w:basedOn w:val="1014"/>
    <w:next w:val="1051"/>
    <w:uiPriority w:val="0"/>
    <w:qFormat/>
    <w:pPr>
      <w:ind w:firstLine="1024"/>
      <w:keepLines w:val="0"/>
      <w:keepNext w:val="0"/>
      <w:spacing w:before="280" w:after="280"/>
    </w:pPr>
    <w:rPr>
      <w:rFonts w:ascii="Times New Roman" w:hAnsi="Times New Roman" w:eastAsia="宋体" w:cs="Times New Roman"/>
      <w:color w:val="auto"/>
      <w:sz w:val="20"/>
      <w:szCs w:val="20"/>
    </w:rPr>
  </w:style>
  <w:style w:type="paragraph" w:styleId="1347" w:customStyle="1">
    <w:name w:val="font8"/>
    <w:basedOn w:val="1014"/>
    <w:next w:val="1272"/>
    <w:uiPriority w:val="0"/>
    <w:qFormat/>
    <w:pPr>
      <w:ind w:firstLine="2048"/>
      <w:keepLines w:val="0"/>
      <w:keepNext w:val="0"/>
      <w:spacing w:before="280" w:after="280"/>
    </w:pPr>
    <w:rPr>
      <w:rFonts w:ascii="Times New Roman" w:hAnsi="Times New Roman" w:eastAsia="宋体" w:cs="Times New Roman"/>
      <w:color w:val="auto"/>
      <w:sz w:val="20"/>
      <w:szCs w:val="20"/>
    </w:rPr>
  </w:style>
  <w:style w:type="paragraph" w:styleId="1348" w:customStyle="1">
    <w:name w:val="Char Char Char Char Char Char1 Char Char Char Char Char Char1 Char Char Char Char Char Char Char"/>
    <w:basedOn w:val="1014"/>
    <w:next w:val="1349"/>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349" w:customStyle="1">
    <w:name w:val="xl87"/>
    <w:basedOn w:val="1014"/>
    <w:next w:val="1305"/>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350" w:customStyle="1">
    <w:name w:val="444"/>
    <w:basedOn w:val="1014"/>
    <w:next w:val="1033"/>
    <w:uiPriority w:val="0"/>
    <w:qFormat/>
    <w:pPr>
      <w:ind w:firstLine="4608"/>
      <w:jc w:val="center"/>
      <w:keepLines w:val="0"/>
      <w:keepNext w:val="0"/>
      <w:spacing w:before="0" w:after="0" w:line="312" w:lineRule="atLeast"/>
    </w:pPr>
    <w:rPr>
      <w:rFonts w:ascii="Times New Roman" w:hAnsi="Times New Roman" w:eastAsia="宋体" w:cs="Times New Roman"/>
      <w:color w:val="auto"/>
      <w:sz w:val="20"/>
      <w:szCs w:val="20"/>
    </w:rPr>
  </w:style>
  <w:style w:type="paragraph" w:styleId="1351" w:customStyle="1">
    <w:name w:val="表格文字图表文字"/>
    <w:basedOn w:val="1014"/>
    <w:next w:val="1352"/>
    <w:uiPriority w:val="0"/>
    <w:qFormat/>
    <w:pPr>
      <w:ind w:firstLine="3584"/>
      <w:jc w:val="center"/>
      <w:keepLines w:val="0"/>
      <w:keepNext w:val="0"/>
      <w:spacing w:before="0" w:after="0"/>
    </w:pPr>
    <w:rPr>
      <w:rFonts w:ascii="Times New Roman" w:hAnsi="Times New Roman" w:eastAsia="宋体" w:cs="Times New Roman"/>
      <w:color w:val="auto"/>
      <w:sz w:val="20"/>
      <w:szCs w:val="20"/>
    </w:rPr>
  </w:style>
  <w:style w:type="paragraph" w:styleId="1352" w:customStyle="1">
    <w:name w:val="样式 目录 3 + 左侧:  2 字符1"/>
    <w:next w:val="1353"/>
    <w:uiPriority w:val="0"/>
    <w:qFormat/>
    <w:pPr>
      <w:ind w:left="960" w:firstLine="5120"/>
      <w:spacing w:line="360" w:lineRule="auto"/>
      <w:widowControl w:val="off"/>
    </w:pPr>
    <w:rPr>
      <w:rFonts w:ascii="Calibri" w:hAnsi="Calibri" w:eastAsia="宋体" w:cs="宋体"/>
      <w:lang w:val="en-US" w:eastAsia="zh-CN" w:bidi="ar-SA"/>
    </w:rPr>
  </w:style>
  <w:style w:type="paragraph" w:styleId="1353" w:customStyle="1">
    <w:name w:val="文档正文"/>
    <w:basedOn w:val="1014"/>
    <w:next w:val="1354"/>
    <w:uiPriority w:val="0"/>
    <w:qFormat/>
    <w:pPr>
      <w:ind w:left="567" w:firstLine="3639"/>
      <w:keepLines w:val="0"/>
      <w:keepNext w:val="0"/>
      <w:spacing w:before="0" w:after="0" w:line="480" w:lineRule="atLeast"/>
    </w:pPr>
    <w:rPr>
      <w:rFonts w:ascii="Times New Roman" w:hAnsi="Times New Roman" w:eastAsia="宋体" w:cs="Times New Roman"/>
      <w:color w:val="auto"/>
      <w:sz w:val="20"/>
      <w:szCs w:val="20"/>
    </w:rPr>
  </w:style>
  <w:style w:type="paragraph" w:styleId="1354" w:customStyle="1">
    <w:name w:val="列表框2"/>
    <w:next w:val="1355"/>
    <w:uiPriority w:val="0"/>
    <w:qFormat/>
    <w:pPr>
      <w:ind w:firstLine="2048"/>
      <w:spacing w:line="460" w:lineRule="exact"/>
    </w:pPr>
    <w:rPr>
      <w:rFonts w:ascii="Calibri" w:hAnsi="Calibri" w:eastAsia="宋体" w:cs="宋体"/>
      <w:lang w:val="en-US" w:eastAsia="zh-CN" w:bidi="ar-SA"/>
    </w:rPr>
  </w:style>
  <w:style w:type="paragraph" w:styleId="1355" w:customStyle="1">
    <w:name w:val="font10"/>
    <w:basedOn w:val="1014"/>
    <w:next w:val="1044"/>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356" w:customStyle="1">
    <w:name w:val="纯文本1"/>
    <w:basedOn w:val="1014"/>
    <w:next w:val="1055"/>
    <w:uiPriority w:val="0"/>
    <w:qFormat/>
    <w:pPr>
      <w:ind w:firstLine="3584"/>
      <w:keepLines w:val="0"/>
      <w:keepNext w:val="0"/>
      <w:spacing w:before="0" w:after="0"/>
    </w:pPr>
    <w:rPr>
      <w:rFonts w:ascii="Times New Roman" w:hAnsi="Times New Roman" w:eastAsia="宋体" w:cs="Times New Roman"/>
      <w:color w:val="auto"/>
      <w:sz w:val="20"/>
      <w:szCs w:val="20"/>
    </w:rPr>
  </w:style>
  <w:style w:type="paragraph" w:styleId="1357" w:customStyle="1">
    <w:name w:val="索引 91"/>
    <w:basedOn w:val="1014"/>
    <w:next w:val="1013"/>
    <w:uiPriority w:val="0"/>
    <w:qFormat/>
    <w:pPr>
      <w:ind w:left="1600"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358" w:customStyle="1">
    <w:name w:val="xl79"/>
    <w:basedOn w:val="1014"/>
    <w:next w:val="1334"/>
    <w:uiPriority w:val="0"/>
    <w:qFormat/>
    <w:pPr>
      <w:ind w:firstLine="3584"/>
      <w:jc w:val="center"/>
      <w:keepLines w:val="0"/>
      <w:keepNext w:val="0"/>
      <w:spacing w:before="280" w:after="280"/>
    </w:pPr>
    <w:rPr>
      <w:rFonts w:ascii="Times New Roman" w:hAnsi="Times New Roman" w:eastAsia="宋体" w:cs="Times New Roman"/>
      <w:color w:val="auto"/>
      <w:sz w:val="20"/>
      <w:szCs w:val="20"/>
    </w:rPr>
  </w:style>
  <w:style w:type="paragraph" w:styleId="1359" w:customStyle="1">
    <w:name w:val="表格文字（4号居中）"/>
    <w:next w:val="1360"/>
    <w:uiPriority w:val="0"/>
    <w:qFormat/>
    <w:pPr>
      <w:ind w:firstLine="2560"/>
      <w:jc w:val="center"/>
    </w:pPr>
    <w:rPr>
      <w:rFonts w:ascii="Calibri" w:hAnsi="Calibri" w:eastAsia="宋体" w:cs="宋体"/>
      <w:lang w:val="en-US" w:eastAsia="zh-CN" w:bidi="ar-SA"/>
    </w:rPr>
  </w:style>
  <w:style w:type="paragraph" w:styleId="1360" w:customStyle="1">
    <w:name w:val="!方块加粗"/>
    <w:basedOn w:val="1014"/>
    <w:next w:val="1327"/>
    <w:uiPriority w:val="0"/>
    <w:qFormat/>
    <w:pPr>
      <w:ind w:left="600" w:firstLine="5212"/>
      <w:keepLines w:val="0"/>
      <w:keepNext w:val="0"/>
      <w:spacing w:before="0" w:after="0" w:line="360" w:lineRule="auto"/>
    </w:pPr>
    <w:rPr>
      <w:rFonts w:ascii="Times New Roman" w:hAnsi="Times New Roman" w:eastAsia="宋体" w:cs="Times New Roman"/>
      <w:color w:val="auto"/>
      <w:sz w:val="20"/>
      <w:szCs w:val="20"/>
    </w:rPr>
  </w:style>
  <w:style w:type="paragraph" w:styleId="1361" w:customStyle="1">
    <w:name w:val="xl75"/>
    <w:basedOn w:val="1014"/>
    <w:next w:val="1056"/>
    <w:uiPriority w:val="0"/>
    <w:qFormat/>
    <w:pPr>
      <w:ind w:firstLine="3584"/>
      <w:jc w:val="center"/>
      <w:keepLines w:val="0"/>
      <w:keepNext w:val="0"/>
      <w:spacing w:before="280" w:after="280"/>
    </w:pPr>
    <w:rPr>
      <w:rFonts w:ascii="Times New Roman" w:hAnsi="Times New Roman" w:eastAsia="宋体" w:cs="Times New Roman"/>
      <w:color w:val="auto"/>
      <w:sz w:val="20"/>
      <w:szCs w:val="20"/>
    </w:rPr>
  </w:style>
  <w:style w:type="paragraph" w:styleId="1362" w:customStyle="1">
    <w:name w:val="xl81"/>
    <w:basedOn w:val="1014"/>
    <w:next w:val="1363"/>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363" w:customStyle="1">
    <w:name w:val="xl25"/>
    <w:basedOn w:val="1014"/>
    <w:next w:val="1364"/>
    <w:uiPriority w:val="0"/>
    <w:qFormat/>
    <w:pPr>
      <w:ind w:firstLine="14"/>
      <w:keepLines w:val="0"/>
      <w:keepNext w:val="0"/>
      <w:spacing w:before="280" w:after="280"/>
      <w:shd w:val="clear" w:color="000000" w:fill="ffffff"/>
    </w:pPr>
    <w:rPr>
      <w:rFonts w:ascii="Times New Roman" w:hAnsi="Times New Roman" w:eastAsia="宋体" w:cs="Times New Roman"/>
      <w:color w:val="auto"/>
      <w:sz w:val="20"/>
      <w:szCs w:val="20"/>
    </w:rPr>
  </w:style>
  <w:style w:type="paragraph" w:styleId="1364" w:customStyle="1">
    <w:name w:val="普通(网站)1"/>
    <w:basedOn w:val="1014"/>
    <w:next w:val="1365"/>
    <w:uiPriority w:val="0"/>
    <w:qFormat/>
    <w:pPr>
      <w:ind w:left="200" w:firstLine="1224"/>
      <w:keepLines w:val="0"/>
      <w:keepNext w:val="0"/>
      <w:spacing w:before="280" w:after="280"/>
    </w:pPr>
    <w:rPr>
      <w:rFonts w:ascii="Times New Roman" w:hAnsi="Times New Roman" w:eastAsia="宋体" w:cs="Times New Roman"/>
      <w:color w:val="auto"/>
      <w:sz w:val="20"/>
      <w:szCs w:val="20"/>
    </w:rPr>
  </w:style>
  <w:style w:type="paragraph" w:styleId="1365" w:customStyle="1">
    <w:name w:val="xl27"/>
    <w:basedOn w:val="1014"/>
    <w:next w:val="1351"/>
    <w:uiPriority w:val="0"/>
    <w:qFormat/>
    <w:pPr>
      <w:ind w:firstLine="20"/>
      <w:keepLines w:val="0"/>
      <w:keepNext w:val="0"/>
      <w:spacing w:before="280" w:after="280"/>
      <w:shd w:val="clear" w:color="000000" w:fill="ffffff"/>
    </w:pPr>
    <w:rPr>
      <w:rFonts w:ascii="Times New Roman" w:hAnsi="Times New Roman" w:eastAsia="宋体" w:cs="Times New Roman"/>
      <w:color w:val="auto"/>
      <w:sz w:val="20"/>
      <w:szCs w:val="20"/>
    </w:rPr>
  </w:style>
  <w:style w:type="paragraph" w:styleId="1366" w:customStyle="1">
    <w:name w:val="H 4"/>
    <w:basedOn w:val="1018"/>
    <w:next w:val="1367"/>
    <w:uiPriority w:val="0"/>
    <w:qFormat/>
    <w:pPr>
      <w:ind w:left="426" w:firstLine="24"/>
      <w:keepLines w:val="0"/>
      <w:keepNext w:val="0"/>
      <w:spacing w:before="0" w:after="0" w:line="360" w:lineRule="auto"/>
      <w:outlineLvl w:val="3"/>
    </w:pPr>
    <w:rPr>
      <w:rFonts w:ascii="Times New Roman" w:hAnsi="Times New Roman" w:cs="Times New Roman"/>
      <w:color w:val="auto"/>
      <w:sz w:val="20"/>
    </w:rPr>
  </w:style>
  <w:style w:type="paragraph" w:styleId="1367" w:customStyle="1">
    <w:name w:val="xl82"/>
    <w:basedOn w:val="1014"/>
    <w:next w:val="1362"/>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368" w:customStyle="1">
    <w:name w:val="Char Char Char Char Char Char Char Char"/>
    <w:next w:val="136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69" w:customStyle="1">
    <w:name w:val="Char Char Char Char Char Char1 Char Char Char1 Char Char Char Char Char Char Char Char Char Char Char Char Char Char Char"/>
    <w:basedOn w:val="1014"/>
    <w:next w:val="1370"/>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370" w:customStyle="1">
    <w:name w:val="样式1"/>
    <w:basedOn w:val="1014"/>
    <w:next w:val="1371"/>
    <w:uiPriority w:val="0"/>
    <w:qFormat/>
    <w:pPr>
      <w:ind w:firstLine="1536"/>
      <w:keepLines w:val="0"/>
      <w:keepNext w:val="0"/>
      <w:spacing w:before="120" w:after="120" w:line="300" w:lineRule="auto"/>
    </w:pPr>
    <w:rPr>
      <w:rFonts w:ascii="Times New Roman" w:hAnsi="Times New Roman" w:eastAsia="宋体" w:cs="Times New Roman"/>
      <w:color w:val="auto"/>
      <w:sz w:val="20"/>
      <w:szCs w:val="20"/>
    </w:rPr>
  </w:style>
  <w:style w:type="paragraph" w:styleId="1371" w:customStyle="1">
    <w:name w:val="索引 41"/>
    <w:basedOn w:val="1014"/>
    <w:next w:val="1013"/>
    <w:uiPriority w:val="0"/>
    <w:qFormat/>
    <w:pPr>
      <w:ind w:left="600"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372" w:customStyle="1">
    <w:name w:val="自定义二"/>
    <w:basedOn w:val="1014"/>
    <w:next w:val="1013"/>
    <w:uiPriority w:val="0"/>
    <w:qFormat/>
    <w:pPr>
      <w:ind w:firstLine="14"/>
      <w:keepLines w:val="0"/>
      <w:keepNext w:val="0"/>
      <w:spacing w:before="0" w:after="0" w:line="360" w:lineRule="auto"/>
      <w:outlineLvl w:val="1"/>
    </w:pPr>
    <w:rPr>
      <w:rFonts w:ascii="Times New Roman" w:hAnsi="Times New Roman" w:eastAsia="宋体" w:cs="Times New Roman"/>
      <w:color w:val="auto"/>
      <w:sz w:val="20"/>
      <w:szCs w:val="20"/>
    </w:rPr>
  </w:style>
  <w:style w:type="paragraph" w:styleId="1373" w:customStyle="1">
    <w:name w:val="Bullet"/>
    <w:next w:val="1311"/>
    <w:uiPriority w:val="0"/>
    <w:qFormat/>
    <w:pPr>
      <w:ind w:left="567" w:right="2835" w:firstLine="3584"/>
      <w:spacing w:after="60"/>
    </w:pPr>
    <w:rPr>
      <w:rFonts w:ascii="Calibri" w:hAnsi="Calibri" w:eastAsia="宋体" w:cs="宋体"/>
      <w:lang w:val="en-US" w:eastAsia="zh-CN" w:bidi="ar-SA"/>
    </w:rPr>
  </w:style>
  <w:style w:type="paragraph" w:styleId="1374" w:customStyle="1">
    <w:name w:val="Char Char Char Char Char Char1"/>
    <w:basedOn w:val="1014"/>
    <w:next w:val="1375"/>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375" w:customStyle="1">
    <w:name w:val="正文缩进2"/>
    <w:basedOn w:val="1014"/>
    <w:next w:val="1376"/>
    <w:uiPriority w:val="0"/>
    <w:qFormat/>
    <w:pPr>
      <w:ind w:left="420" w:firstLine="1188"/>
      <w:keepLines w:val="0"/>
      <w:keepNext w:val="0"/>
      <w:spacing w:before="0" w:after="0"/>
    </w:pPr>
    <w:rPr>
      <w:rFonts w:ascii="Times New Roman" w:hAnsi="Times New Roman" w:eastAsia="宋体" w:cs="Times New Roman"/>
      <w:color w:val="auto"/>
      <w:sz w:val="20"/>
      <w:szCs w:val="20"/>
    </w:rPr>
  </w:style>
  <w:style w:type="paragraph" w:styleId="1376" w:customStyle="1">
    <w:name w:val="列出段落2"/>
    <w:basedOn w:val="1014"/>
    <w:next w:val="1377"/>
    <w:uiPriority w:val="0"/>
    <w:qFormat/>
    <w:pPr>
      <w:ind w:left="420" w:firstLine="3748"/>
      <w:keepLines w:val="0"/>
      <w:keepNext w:val="0"/>
      <w:spacing w:before="0" w:after="0"/>
    </w:pPr>
    <w:rPr>
      <w:rFonts w:ascii="Times New Roman" w:hAnsi="Times New Roman" w:eastAsia="宋体" w:cs="Times New Roman"/>
      <w:color w:val="auto"/>
      <w:sz w:val="20"/>
      <w:szCs w:val="20"/>
    </w:rPr>
  </w:style>
  <w:style w:type="paragraph" w:styleId="1377" w:customStyle="1">
    <w:name w:val="正文文本缩进 31"/>
    <w:basedOn w:val="1014"/>
    <w:next w:val="1378"/>
    <w:uiPriority w:val="0"/>
    <w:qFormat/>
    <w:pPr>
      <w:ind w:left="1200" w:firstLine="1248"/>
      <w:keepLines w:val="0"/>
      <w:keepNext w:val="0"/>
      <w:spacing w:before="120" w:after="0" w:line="22" w:lineRule="atLeast"/>
    </w:pPr>
    <w:rPr>
      <w:rFonts w:ascii="Times New Roman" w:hAnsi="Times New Roman" w:eastAsia="宋体" w:cs="Times New Roman"/>
      <w:color w:val="auto"/>
      <w:sz w:val="20"/>
      <w:szCs w:val="20"/>
    </w:rPr>
  </w:style>
  <w:style w:type="paragraph" w:styleId="1378" w:customStyle="1">
    <w:name w:val="样式 正文首行缩进 + 首行缩进:  2 字符5"/>
    <w:next w:val="1379"/>
    <w:uiPriority w:val="0"/>
    <w:qFormat/>
    <w:pPr>
      <w:ind w:left="200" w:firstLine="3784"/>
      <w:spacing w:line="300" w:lineRule="auto"/>
    </w:pPr>
    <w:rPr>
      <w:rFonts w:ascii="Calibri" w:hAnsi="Calibri" w:eastAsia="宋体" w:cs="宋体"/>
      <w:lang w:val="en-US" w:eastAsia="zh-CN" w:bidi="ar-SA"/>
    </w:rPr>
  </w:style>
  <w:style w:type="paragraph" w:styleId="1379" w:customStyle="1">
    <w:name w:val="Char2"/>
    <w:basedOn w:val="1014"/>
    <w:next w:val="1373"/>
    <w:uiPriority w:val="0"/>
    <w:qFormat/>
    <w:pPr>
      <w:ind w:firstLine="3584"/>
      <w:keepLines w:val="0"/>
      <w:keepNext w:val="0"/>
      <w:spacing w:before="0" w:after="160" w:line="240" w:lineRule="exact"/>
    </w:pPr>
    <w:rPr>
      <w:rFonts w:ascii="Times New Roman" w:hAnsi="Times New Roman" w:eastAsia="宋体" w:cs="Times New Roman"/>
      <w:color w:val="auto"/>
      <w:sz w:val="20"/>
      <w:szCs w:val="20"/>
    </w:rPr>
  </w:style>
  <w:style w:type="paragraph" w:styleId="1380" w:customStyle="1">
    <w:name w:val="WPSOffice手动目录 1"/>
    <w:uiPriority w:val="0"/>
    <w:qFormat/>
    <w:rPr>
      <w:rFonts w:ascii="宋体" w:hAnsi="宋体" w:eastAsia="宋体" w:cs="宋体"/>
      <w:lang w:val="en-US" w:eastAsia="zh-CN" w:bidi="ar-SA"/>
    </w:rPr>
  </w:style>
  <w:style w:type="paragraph" w:styleId="1381" w:customStyle="1">
    <w:name w:val="纯文本4"/>
    <w:basedOn w:val="1013"/>
    <w:uiPriority w:val="0"/>
    <w:qFormat/>
    <w:pPr>
      <w:ind w:left="0"/>
      <w:widowControl w:val="off"/>
    </w:pPr>
    <w:rPr>
      <w:rFonts w:ascii="宋体" w:hAnsi="Courier New" w:eastAsia="楷体_GB2312" w:cs="Times New Roman"/>
      <w:sz w:val="26"/>
    </w:rPr>
  </w:style>
  <w:style w:type="paragraph" w:styleId="1382" w:customStyle="1">
    <w:name w:val="Char Char Char Char Char Char Char Char Char Char Char Char Char Char Char Char"/>
    <w:basedOn w:val="1014"/>
    <w:next w:val="1383"/>
    <w:uiPriority w:val="0"/>
    <w:qFormat/>
    <w:pPr>
      <w:ind w:left="682" w:firstLine="1224"/>
      <w:keepLines w:val="0"/>
      <w:keepNext w:val="0"/>
      <w:spacing w:before="0" w:after="0" w:line="360" w:lineRule="auto"/>
    </w:pPr>
    <w:rPr>
      <w:rFonts w:ascii="Times New Roman" w:hAnsi="Times New Roman" w:eastAsia="宋体" w:cs="Times New Roman"/>
      <w:color w:val="auto"/>
      <w:sz w:val="20"/>
      <w:szCs w:val="20"/>
    </w:rPr>
  </w:style>
  <w:style w:type="paragraph" w:styleId="1383" w:customStyle="1">
    <w:name w:val="列表编号 51"/>
    <w:basedOn w:val="1014"/>
    <w:next w:val="1384"/>
    <w:uiPriority w:val="0"/>
    <w:qFormat/>
    <w:pPr>
      <w:ind w:left="900" w:firstLine="2652"/>
      <w:keepLines w:val="0"/>
      <w:keepNext w:val="0"/>
      <w:spacing w:before="0" w:after="0" w:line="360" w:lineRule="auto"/>
    </w:pPr>
    <w:rPr>
      <w:rFonts w:ascii="Times New Roman" w:hAnsi="Times New Roman" w:eastAsia="宋体" w:cs="Times New Roman"/>
      <w:color w:val="auto"/>
      <w:sz w:val="20"/>
      <w:szCs w:val="20"/>
    </w:rPr>
  </w:style>
  <w:style w:type="paragraph" w:styleId="1384" w:customStyle="1">
    <w:name w:val="样式 标题 1 + 黑体 (符号) 宋体 三号 段前: 7.8 磅 段后: 7.8 磅 行距: 1.5 倍行距"/>
    <w:basedOn w:val="1015"/>
    <w:next w:val="1385"/>
    <w:uiPriority w:val="0"/>
    <w:qFormat/>
    <w:pPr>
      <w:ind w:left="432" w:firstLine="18"/>
      <w:keepLines w:val="0"/>
      <w:keepNext w:val="0"/>
      <w:spacing w:before="40" w:after="40" w:line="360" w:lineRule="auto"/>
      <w:outlineLvl w:val="0"/>
    </w:pPr>
    <w:rPr>
      <w:rFonts w:ascii="Times New Roman" w:hAnsi="Times New Roman" w:eastAsia="宋体" w:cs="Times New Roman"/>
      <w:color w:val="auto"/>
      <w:sz w:val="20"/>
      <w:szCs w:val="20"/>
    </w:rPr>
  </w:style>
  <w:style w:type="paragraph" w:styleId="1385" w:customStyle="1">
    <w:name w:val="表格用"/>
    <w:basedOn w:val="1014"/>
    <w:next w:val="1342"/>
    <w:uiPriority w:val="0"/>
    <w:qFormat/>
    <w:pPr>
      <w:ind w:firstLine="1024"/>
      <w:keepLines w:val="0"/>
      <w:keepNext w:val="0"/>
      <w:spacing w:before="0" w:after="0" w:line="360" w:lineRule="auto"/>
    </w:pPr>
    <w:rPr>
      <w:rFonts w:ascii="Times New Roman" w:hAnsi="Times New Roman" w:eastAsia="宋体" w:cs="Times New Roman"/>
      <w:color w:val="auto"/>
      <w:sz w:val="20"/>
      <w:szCs w:val="20"/>
    </w:rPr>
  </w:style>
  <w:style w:type="paragraph" w:styleId="1386" w:customStyle="1">
    <w:name w:val="xl71"/>
    <w:basedOn w:val="1014"/>
    <w:next w:val="1387"/>
    <w:uiPriority w:val="0"/>
    <w:qFormat/>
    <w:pPr>
      <w:ind w:firstLine="1536"/>
      <w:keepLines w:val="0"/>
      <w:keepNext w:val="0"/>
      <w:spacing w:before="280" w:after="280"/>
    </w:pPr>
    <w:rPr>
      <w:rFonts w:ascii="Times New Roman" w:hAnsi="Times New Roman" w:eastAsia="宋体" w:cs="Times New Roman"/>
      <w:color w:val="auto"/>
      <w:sz w:val="20"/>
      <w:szCs w:val="20"/>
    </w:rPr>
  </w:style>
  <w:style w:type="paragraph" w:styleId="1387" w:customStyle="1">
    <w:name w:val="正文文本 31"/>
    <w:basedOn w:val="1014"/>
    <w:next w:val="1388"/>
    <w:uiPriority w:val="0"/>
    <w:qFormat/>
    <w:pPr>
      <w:ind w:firstLine="3584"/>
      <w:jc w:val="center"/>
      <w:keepLines w:val="0"/>
      <w:keepNext w:val="0"/>
      <w:spacing w:before="0" w:after="120" w:line="360" w:lineRule="auto"/>
    </w:pPr>
    <w:rPr>
      <w:rFonts w:ascii="Times New Roman" w:hAnsi="Times New Roman" w:eastAsia="宋体" w:cs="Times New Roman"/>
      <w:color w:val="auto"/>
      <w:sz w:val="20"/>
      <w:szCs w:val="20"/>
    </w:rPr>
  </w:style>
  <w:style w:type="paragraph" w:styleId="1388" w:customStyle="1">
    <w:name w:val="列出段落111"/>
    <w:basedOn w:val="1014"/>
    <w:next w:val="1324"/>
    <w:uiPriority w:val="0"/>
    <w:qFormat/>
    <w:pPr>
      <w:ind w:left="420" w:firstLine="3748"/>
      <w:keepLines w:val="0"/>
      <w:keepNext w:val="0"/>
      <w:spacing w:before="0" w:after="0"/>
    </w:pPr>
    <w:rPr>
      <w:rFonts w:ascii="Times New Roman" w:hAnsi="Times New Roman" w:eastAsia="宋体" w:cs="Times New Roman"/>
      <w:color w:val="auto"/>
      <w:sz w:val="20"/>
      <w:szCs w:val="20"/>
    </w:rPr>
  </w:style>
  <w:style w:type="paragraph" w:styleId="1389" w:customStyle="1">
    <w:name w:val="修订1"/>
    <w:uiPriority w:val="0"/>
    <w:qFormat/>
    <w:rPr>
      <w:rFonts w:ascii="Calibri" w:hAnsi="Calibri" w:eastAsia="宋体" w:cs="宋体"/>
      <w:lang w:val="en-US" w:eastAsia="zh-CN" w:bidi="ar-SA"/>
    </w:rPr>
  </w:style>
  <w:style w:type="paragraph" w:styleId="1390" w:customStyle="1">
    <w:name w:val="正文文本缩进 21"/>
    <w:basedOn w:val="1014"/>
    <w:next w:val="1330"/>
    <w:uiPriority w:val="0"/>
    <w:qFormat/>
    <w:pPr>
      <w:ind w:left="480" w:firstLine="4832"/>
      <w:keepLines w:val="0"/>
      <w:keepNext w:val="0"/>
      <w:spacing w:before="0" w:after="0"/>
    </w:pPr>
    <w:rPr>
      <w:rFonts w:ascii="Times New Roman" w:hAnsi="Times New Roman" w:eastAsia="宋体" w:cs="Times New Roman"/>
      <w:color w:val="auto"/>
      <w:sz w:val="20"/>
      <w:szCs w:val="20"/>
    </w:rPr>
  </w:style>
  <w:style w:type="paragraph" w:styleId="1391" w:customStyle="1">
    <w:name w:val="Char Char4 Char Char"/>
    <w:basedOn w:val="1014"/>
    <w:next w:val="1340"/>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392" w:customStyle="1">
    <w:name w:val="样式"/>
    <w:next w:val="1013"/>
    <w:uiPriority w:val="0"/>
    <w:qFormat/>
    <w:pPr>
      <w:ind w:firstLine="3584"/>
      <w:widowControl w:val="off"/>
    </w:pPr>
    <w:rPr>
      <w:rFonts w:ascii="Calibri" w:hAnsi="Calibri" w:eastAsia="宋体" w:cs="宋体"/>
      <w:lang w:val="en-US" w:eastAsia="zh-CN" w:bidi="ar-SA"/>
    </w:rPr>
  </w:style>
  <w:style w:type="paragraph" w:styleId="1393" w:customStyle="1">
    <w:name w:val="TOC 标题1"/>
    <w:basedOn w:val="1015"/>
    <w:next w:val="1013"/>
    <w:uiPriority w:val="0"/>
    <w:qFormat/>
    <w:pPr>
      <w:ind w:firstLine="6144"/>
      <w:keepLines w:val="0"/>
      <w:keepNext w:val="0"/>
      <w:spacing w:before="480" w:after="0" w:line="276" w:lineRule="auto"/>
    </w:pPr>
    <w:rPr>
      <w:rFonts w:ascii="Times New Roman" w:hAnsi="Times New Roman" w:eastAsia="宋体" w:cs="Times New Roman"/>
      <w:b/>
      <w:color w:val="auto"/>
      <w:sz w:val="30"/>
      <w:szCs w:val="20"/>
    </w:rPr>
  </w:style>
  <w:style w:type="paragraph" w:styleId="1394" w:customStyle="1">
    <w:name w:val="纯文本3"/>
    <w:basedOn w:val="1013"/>
    <w:uiPriority w:val="0"/>
    <w:qFormat/>
    <w:rPr>
      <w:rFonts w:ascii="宋体" w:hAnsi="Courier New" w:cs="Times New Roman"/>
    </w:rPr>
  </w:style>
  <w:style w:type="paragraph" w:styleId="1395" w:customStyle="1">
    <w:name w:val="afont"/>
    <w:basedOn w:val="1014"/>
    <w:next w:val="1037"/>
    <w:uiPriority w:val="0"/>
    <w:qFormat/>
    <w:pPr>
      <w:ind w:firstLine="2048"/>
      <w:keepLines w:val="0"/>
      <w:keepNext w:val="0"/>
      <w:spacing w:before="100" w:after="100" w:line="285" w:lineRule="atLeast"/>
    </w:pPr>
    <w:rPr>
      <w:rFonts w:ascii="Times New Roman" w:hAnsi="Times New Roman" w:eastAsia="宋体" w:cs="Times New Roman"/>
      <w:color w:val="auto"/>
      <w:sz w:val="20"/>
      <w:szCs w:val="20"/>
    </w:rPr>
  </w:style>
  <w:style w:type="paragraph" w:styleId="1396" w:customStyle="1">
    <w:name w:val="xl85"/>
    <w:basedOn w:val="1014"/>
    <w:next w:val="1397"/>
    <w:uiPriority w:val="0"/>
    <w:qFormat/>
    <w:pPr>
      <w:ind w:firstLine="2048"/>
      <w:jc w:val="center"/>
      <w:keepLines w:val="0"/>
      <w:keepNext w:val="0"/>
      <w:spacing w:before="280" w:after="280"/>
    </w:pPr>
    <w:rPr>
      <w:rFonts w:ascii="Times New Roman" w:hAnsi="Times New Roman" w:eastAsia="宋体" w:cs="Times New Roman"/>
      <w:color w:val="auto"/>
      <w:sz w:val="20"/>
      <w:szCs w:val="20"/>
    </w:rPr>
  </w:style>
  <w:style w:type="paragraph" w:styleId="1397" w:customStyle="1">
    <w:name w:val="文章总标题"/>
    <w:basedOn w:val="1014"/>
    <w:next w:val="1398"/>
    <w:uiPriority w:val="0"/>
    <w:qFormat/>
    <w:pPr>
      <w:ind w:firstLine="7168"/>
      <w:jc w:val="center"/>
      <w:keepLines w:val="0"/>
      <w:keepNext w:val="0"/>
      <w:spacing w:before="566" w:after="544" w:line="566" w:lineRule="atLeast"/>
    </w:pPr>
    <w:rPr>
      <w:rFonts w:ascii="Times New Roman" w:hAnsi="Times New Roman" w:eastAsia="宋体" w:cs="Times New Roman"/>
      <w:color w:val="auto"/>
      <w:sz w:val="20"/>
      <w:szCs w:val="20"/>
    </w:rPr>
  </w:style>
  <w:style w:type="paragraph" w:styleId="1398" w:customStyle="1">
    <w:name w:val="样式 首行缩进:  2 字符"/>
    <w:basedOn w:val="1014"/>
    <w:next w:val="1361"/>
    <w:uiPriority w:val="0"/>
    <w:qFormat/>
    <w:pPr>
      <w:ind w:left="200" w:firstLine="1224"/>
      <w:keepLines w:val="0"/>
      <w:keepNext w:val="0"/>
      <w:spacing w:before="0" w:after="0" w:line="400" w:lineRule="exact"/>
    </w:pPr>
    <w:rPr>
      <w:rFonts w:ascii="Times New Roman" w:hAnsi="Times New Roman" w:eastAsia="宋体" w:cs="Times New Roman"/>
      <w:color w:val="auto"/>
      <w:sz w:val="20"/>
      <w:szCs w:val="20"/>
    </w:rPr>
  </w:style>
  <w:style w:type="paragraph" w:styleId="1399" w:customStyle="1">
    <w:name w:val="二级条标题"/>
    <w:basedOn w:val="1014"/>
    <w:next w:val="1013"/>
    <w:uiPriority w:val="0"/>
    <w:qFormat/>
    <w:pPr>
      <w:ind w:firstLine="8"/>
      <w:keepLines w:val="0"/>
      <w:keepNext w:val="0"/>
      <w:spacing w:before="0" w:after="0"/>
      <w:outlineLvl w:val="3"/>
    </w:pPr>
    <w:rPr>
      <w:rFonts w:ascii="Times New Roman" w:hAnsi="Times New Roman" w:eastAsia="宋体" w:cs="Times New Roman"/>
      <w:color w:val="auto"/>
      <w:sz w:val="20"/>
      <w:szCs w:val="20"/>
    </w:rPr>
  </w:style>
  <w:style w:type="paragraph" w:styleId="1400" w:customStyle="1">
    <w:name w:val="Plain Text*"/>
    <w:basedOn w:val="1013"/>
    <w:uiPriority w:val="0"/>
    <w:qFormat/>
    <w:pPr>
      <w:ind w:left="0"/>
      <w:jc w:val="left"/>
    </w:pPr>
    <w:rPr>
      <w:rFonts w:ascii="宋体" w:hAnsi="宋体" w:eastAsia="楷体_GB2312" w:cs="Courier New"/>
      <w:sz w:val="26"/>
      <w:lang w:val="zh-CN"/>
    </w:rPr>
  </w:style>
  <w:style w:type="paragraph" w:styleId="1401" w:customStyle="1">
    <w:name w:val="样式 加粗 居中2"/>
    <w:basedOn w:val="1014"/>
    <w:next w:val="1254"/>
    <w:uiPriority w:val="0"/>
    <w:qFormat/>
    <w:pPr>
      <w:ind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402" w:customStyle="1">
    <w:name w:val="标准文本"/>
    <w:basedOn w:val="1014"/>
    <w:next w:val="1356"/>
    <w:uiPriority w:val="0"/>
    <w:qFormat/>
    <w:pPr>
      <w:ind w:left="480" w:firstLine="2784"/>
      <w:keepLines w:val="0"/>
      <w:keepNext w:val="0"/>
      <w:spacing w:before="0" w:after="0" w:line="360" w:lineRule="auto"/>
    </w:pPr>
    <w:rPr>
      <w:rFonts w:ascii="Times New Roman" w:hAnsi="Times New Roman" w:eastAsia="宋体" w:cs="Times New Roman"/>
      <w:color w:val="auto"/>
      <w:sz w:val="20"/>
      <w:szCs w:val="20"/>
    </w:rPr>
  </w:style>
  <w:style w:type="paragraph" w:styleId="1403" w:customStyle="1">
    <w:name w:val="font5"/>
    <w:basedOn w:val="1014"/>
    <w:next w:val="1404"/>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404" w:customStyle="1">
    <w:name w:val="索引标题1"/>
    <w:basedOn w:val="1014"/>
    <w:next w:val="1284"/>
    <w:uiPriority w:val="0"/>
    <w:qFormat/>
    <w:pPr>
      <w:ind w:firstLine="4608"/>
      <w:jc w:val="center"/>
      <w:keepLines w:val="0"/>
      <w:keepNext w:val="0"/>
      <w:spacing w:before="0" w:after="0" w:line="360" w:lineRule="auto"/>
    </w:pPr>
    <w:rPr>
      <w:rFonts w:ascii="Times New Roman" w:hAnsi="Times New Roman" w:eastAsia="宋体" w:cs="Times New Roman"/>
      <w:color w:val="auto"/>
      <w:sz w:val="20"/>
      <w:szCs w:val="20"/>
    </w:rPr>
  </w:style>
  <w:style w:type="paragraph" w:styleId="1405" w:customStyle="1">
    <w:name w:val="Char Char Char Char Char Char1 Char Char Char1 Char Char Char Char Char Char Char Char Char Char Char Char Char Char Char Char"/>
    <w:basedOn w:val="1014"/>
    <w:next w:val="1406"/>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406" w:customStyle="1">
    <w:name w:val="1正文"/>
    <w:basedOn w:val="1014"/>
    <w:next w:val="1407"/>
    <w:uiPriority w:val="0"/>
    <w:qFormat/>
    <w:pPr>
      <w:ind w:left="480" w:firstLine="2784"/>
      <w:keepLines w:val="0"/>
      <w:keepNext w:val="0"/>
      <w:spacing w:before="0" w:after="0" w:line="300" w:lineRule="auto"/>
    </w:pPr>
    <w:rPr>
      <w:rFonts w:ascii="Times New Roman" w:hAnsi="Times New Roman" w:eastAsia="宋体" w:cs="Times New Roman"/>
      <w:color w:val="auto"/>
      <w:sz w:val="20"/>
      <w:szCs w:val="20"/>
    </w:rPr>
  </w:style>
  <w:style w:type="paragraph" w:styleId="1407" w:customStyle="1">
    <w:name w:val="目录2"/>
    <w:basedOn w:val="1014"/>
    <w:next w:val="1013"/>
    <w:uiPriority w:val="0"/>
    <w:qFormat/>
    <w:pPr>
      <w:ind w:left="209" w:firstLine="5329"/>
      <w:keepLines w:val="0"/>
      <w:keepNext w:val="0"/>
      <w:spacing w:before="0" w:after="0" w:line="317" w:lineRule="atLeast"/>
    </w:pPr>
    <w:rPr>
      <w:rFonts w:ascii="Times New Roman" w:hAnsi="Times New Roman" w:eastAsia="宋体" w:cs="Times New Roman"/>
      <w:color w:val="auto"/>
      <w:sz w:val="20"/>
      <w:szCs w:val="20"/>
    </w:rPr>
  </w:style>
  <w:style w:type="paragraph" w:styleId="1408" w:customStyle="1">
    <w:name w:val="图表目录1"/>
    <w:basedOn w:val="1014"/>
    <w:next w:val="1013"/>
    <w:uiPriority w:val="0"/>
    <w:qFormat/>
    <w:pPr>
      <w:ind w:left="200" w:firstLine="2616"/>
      <w:jc w:val="center"/>
      <w:keepLines w:val="0"/>
      <w:keepNext w:val="0"/>
      <w:spacing w:before="0" w:after="0" w:line="360" w:lineRule="auto"/>
    </w:pPr>
    <w:rPr>
      <w:rFonts w:ascii="Times New Roman" w:hAnsi="Times New Roman" w:eastAsia="宋体" w:cs="Times New Roman"/>
      <w:color w:val="auto"/>
      <w:sz w:val="20"/>
      <w:szCs w:val="20"/>
    </w:rPr>
  </w:style>
  <w:style w:type="paragraph" w:styleId="1409" w:customStyle="1">
    <w:name w:val="xl63"/>
    <w:basedOn w:val="1014"/>
    <w:next w:val="1359"/>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410" w:customStyle="1">
    <w:name w:val="xl73"/>
    <w:basedOn w:val="1014"/>
    <w:next w:val="1411"/>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411" w:customStyle="1">
    <w:name w:val="xl80"/>
    <w:basedOn w:val="1014"/>
    <w:next w:val="1412"/>
    <w:uiPriority w:val="0"/>
    <w:qFormat/>
    <w:pPr>
      <w:ind w:firstLine="3584"/>
      <w:jc w:val="center"/>
      <w:keepLines w:val="0"/>
      <w:keepNext w:val="0"/>
      <w:spacing w:before="280" w:after="280"/>
    </w:pPr>
    <w:rPr>
      <w:rFonts w:ascii="Times New Roman" w:hAnsi="Times New Roman" w:eastAsia="宋体" w:cs="Times New Roman"/>
      <w:color w:val="auto"/>
      <w:sz w:val="20"/>
      <w:szCs w:val="20"/>
    </w:rPr>
  </w:style>
  <w:style w:type="paragraph" w:styleId="1412" w:customStyle="1">
    <w:name w:val="样式2"/>
    <w:basedOn w:val="1019"/>
    <w:next w:val="1413"/>
    <w:uiPriority w:val="0"/>
    <w:qFormat/>
    <w:pPr>
      <w:ind w:left="1134" w:firstLine="18"/>
      <w:keepLines w:val="0"/>
      <w:keepNext w:val="0"/>
      <w:spacing w:before="0" w:line="360" w:lineRule="auto"/>
      <w:outlineLvl w:val="4"/>
    </w:pPr>
    <w:rPr>
      <w:rFonts w:ascii="Times New Roman" w:hAnsi="Times New Roman" w:cs="Times New Roman"/>
      <w:b w:val="0"/>
      <w:bCs w:val="0"/>
      <w:color w:val="auto"/>
    </w:rPr>
  </w:style>
  <w:style w:type="paragraph" w:styleId="1413" w:customStyle="1">
    <w:name w:val="日期1"/>
    <w:basedOn w:val="1014"/>
    <w:next w:val="1013"/>
    <w:uiPriority w:val="0"/>
    <w:qFormat/>
    <w:pPr>
      <w:ind w:left="100" w:firstLine="6144"/>
      <w:keepLines w:val="0"/>
      <w:keepNext w:val="0"/>
      <w:spacing w:before="0" w:after="0"/>
    </w:pPr>
    <w:rPr>
      <w:rFonts w:ascii="Times New Roman" w:hAnsi="Times New Roman" w:eastAsia="宋体" w:cs="Times New Roman"/>
      <w:color w:val="auto"/>
      <w:sz w:val="20"/>
      <w:szCs w:val="20"/>
    </w:rPr>
  </w:style>
  <w:style w:type="paragraph" w:styleId="1414" w:customStyle="1">
    <w:name w:val="图1"/>
    <w:basedOn w:val="1014"/>
    <w:next w:val="1013"/>
    <w:uiPriority w:val="0"/>
    <w:qFormat/>
    <w:pPr>
      <w:ind w:left="1105" w:firstLine="2580"/>
      <w:jc w:val="center"/>
      <w:keepLines w:val="0"/>
      <w:keepNext w:val="0"/>
      <w:spacing w:before="0" w:after="0" w:line="360" w:lineRule="auto"/>
    </w:pPr>
    <w:rPr>
      <w:rFonts w:ascii="Times New Roman" w:hAnsi="Times New Roman" w:eastAsia="宋体" w:cs="Times New Roman"/>
      <w:color w:val="auto"/>
      <w:sz w:val="20"/>
      <w:szCs w:val="20"/>
    </w:rPr>
  </w:style>
  <w:style w:type="paragraph" w:styleId="1415" w:customStyle="1">
    <w:name w:val="Char Char Char Char Char Char1 Char Char Char1 Char Char Char Char Char Char Char Char Char Char Char Char"/>
    <w:basedOn w:val="1014"/>
    <w:next w:val="1396"/>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416" w:customStyle="1">
    <w:name w:val="Char Char Char Char Char Char Char"/>
    <w:basedOn w:val="1014"/>
    <w:next w:val="1302"/>
    <w:uiPriority w:val="0"/>
    <w:qFormat/>
    <w:pPr>
      <w:ind w:left="200" w:firstLine="4808"/>
      <w:keepLines w:val="0"/>
      <w:keepNext w:val="0"/>
      <w:spacing w:before="0" w:after="0" w:line="360" w:lineRule="auto"/>
    </w:pPr>
    <w:rPr>
      <w:rFonts w:ascii="Times New Roman" w:hAnsi="Times New Roman" w:eastAsia="宋体" w:cs="Times New Roman"/>
      <w:color w:val="auto"/>
      <w:sz w:val="20"/>
      <w:szCs w:val="20"/>
    </w:rPr>
  </w:style>
  <w:style w:type="paragraph" w:styleId="1417" w:customStyle="1">
    <w:name w:val="Char Char Char Char Char Char Char Char Char Char Char Char Char Char Char"/>
    <w:basedOn w:val="1014"/>
    <w:next w:val="1393"/>
    <w:uiPriority w:val="0"/>
    <w:qFormat/>
    <w:pPr>
      <w:ind w:firstLine="3584"/>
      <w:jc w:val="center"/>
      <w:keepLines w:val="0"/>
      <w:keepNext w:val="0"/>
      <w:spacing w:before="0" w:after="0" w:line="400" w:lineRule="exact"/>
    </w:pPr>
    <w:rPr>
      <w:rFonts w:ascii="Times New Roman" w:hAnsi="Times New Roman" w:eastAsia="宋体" w:cs="Times New Roman"/>
      <w:color w:val="auto"/>
      <w:sz w:val="20"/>
      <w:szCs w:val="20"/>
    </w:rPr>
  </w:style>
  <w:style w:type="paragraph" w:styleId="1418" w:customStyle="1">
    <w:name w:val="索引 51"/>
    <w:basedOn w:val="1014"/>
    <w:next w:val="1013"/>
    <w:uiPriority w:val="0"/>
    <w:qFormat/>
    <w:pPr>
      <w:ind w:left="800"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419" w:customStyle="1">
    <w:name w:val="图表"/>
    <w:basedOn w:val="1014"/>
    <w:next w:val="1420"/>
    <w:uiPriority w:val="0"/>
    <w:qFormat/>
    <w:pPr>
      <w:ind w:firstLine="2048"/>
      <w:jc w:val="center"/>
      <w:keepLines w:val="0"/>
      <w:keepNext w:val="0"/>
      <w:spacing w:before="0" w:after="0"/>
    </w:pPr>
    <w:rPr>
      <w:rFonts w:ascii="Times New Roman" w:hAnsi="Times New Roman" w:eastAsia="宋体" w:cs="Times New Roman"/>
      <w:color w:val="auto"/>
      <w:sz w:val="20"/>
      <w:szCs w:val="20"/>
    </w:rPr>
  </w:style>
  <w:style w:type="paragraph" w:styleId="1420" w:customStyle="1">
    <w:name w:val="reader-word-layer"/>
    <w:basedOn w:val="1014"/>
    <w:next w:val="1421"/>
    <w:uiPriority w:val="0"/>
    <w:qFormat/>
    <w:pPr>
      <w:ind w:firstLine="1024"/>
      <w:keepLines w:val="0"/>
      <w:keepNext w:val="0"/>
      <w:spacing w:before="280" w:after="280"/>
    </w:pPr>
    <w:rPr>
      <w:rFonts w:ascii="Times New Roman" w:hAnsi="Times New Roman" w:eastAsia="宋体" w:cs="Times New Roman"/>
      <w:color w:val="auto"/>
      <w:sz w:val="20"/>
      <w:szCs w:val="20"/>
    </w:rPr>
  </w:style>
  <w:style w:type="paragraph" w:styleId="1421" w:customStyle="1">
    <w:name w:val="样式 加粗 居中1"/>
    <w:next w:val="1263"/>
    <w:uiPriority w:val="0"/>
    <w:qFormat/>
    <w:pPr>
      <w:ind w:firstLine="2560"/>
      <w:jc w:val="center"/>
    </w:pPr>
    <w:rPr>
      <w:rFonts w:ascii="Calibri" w:hAnsi="Calibri" w:eastAsia="宋体" w:cs="宋体"/>
      <w:lang w:val="en-US" w:eastAsia="zh-CN" w:bidi="ar-SA"/>
    </w:rPr>
  </w:style>
  <w:style w:type="paragraph" w:styleId="1422" w:customStyle="1">
    <w:name w:val="修订2"/>
    <w:uiPriority w:val="0"/>
    <w:qFormat/>
    <w:rPr>
      <w:rFonts w:ascii="Calibri" w:hAnsi="Calibri" w:eastAsia="宋体" w:cs="宋体"/>
      <w:lang w:val="en-US" w:eastAsia="zh-CN" w:bidi="ar-SA"/>
    </w:rPr>
  </w:style>
  <w:style w:type="paragraph" w:styleId="1423" w:customStyle="1">
    <w:name w:val="Body"/>
    <w:next w:val="1357"/>
    <w:uiPriority w:val="0"/>
    <w:qFormat/>
    <w:pPr>
      <w:ind w:left="567" w:right="2835" w:firstLine="3584"/>
      <w:spacing w:after="60"/>
    </w:pPr>
    <w:rPr>
      <w:rFonts w:ascii="Calibri" w:hAnsi="Calibri" w:eastAsia="宋体" w:cs="宋体"/>
      <w:lang w:val="en-US" w:eastAsia="zh-CN" w:bidi="ar-SA"/>
    </w:rPr>
  </w:style>
  <w:style w:type="paragraph" w:styleId="1424" w:customStyle="1">
    <w:name w:val="font6"/>
    <w:basedOn w:val="1014"/>
    <w:next w:val="1425"/>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425" w:customStyle="1">
    <w:name w:val="正文首行缩进 21"/>
    <w:basedOn w:val="1025"/>
    <w:next w:val="1423"/>
    <w:uiPriority w:val="0"/>
    <w:qFormat/>
    <w:pPr>
      <w:ind w:left="200" w:firstLine="3784"/>
      <w:jc w:val="center"/>
      <w:spacing w:after="120" w:line="360" w:lineRule="auto"/>
    </w:pPr>
    <w:rPr>
      <w:rFonts w:ascii="Calibri" w:hAnsi="Calibri"/>
    </w:rPr>
  </w:style>
  <w:style w:type="paragraph" w:styleId="1426" w:customStyle="1">
    <w:name w:val="Char Char"/>
    <w:next w:val="1419"/>
    <w:uiPriority w:val="0"/>
    <w:qFormat/>
    <w:pPr>
      <w:ind w:firstLine="14"/>
      <w:spacing w:line="360" w:lineRule="auto"/>
      <w:shd w:val="clear" w:color="000000" w:fill="000080"/>
    </w:pPr>
    <w:rPr>
      <w:rFonts w:ascii="Calibri" w:hAnsi="Calibri" w:eastAsia="宋体" w:cs="宋体"/>
      <w:lang w:val="en-US" w:eastAsia="zh-CN" w:bidi="ar-SA"/>
    </w:rPr>
  </w:style>
  <w:style w:type="paragraph" w:styleId="1427" w:customStyle="1">
    <w:name w:val="正文_0_0"/>
    <w:next w:val="1262"/>
    <w:uiPriority w:val="0"/>
    <w:qFormat/>
    <w:pPr>
      <w:ind w:firstLine="3584"/>
      <w:jc w:val="both"/>
      <w:widowControl w:val="off"/>
    </w:pPr>
    <w:rPr>
      <w:rFonts w:ascii="Calibri" w:hAnsi="Calibri" w:eastAsia="宋体" w:cs="宋体"/>
      <w:lang w:val="en-US" w:eastAsia="zh-CN" w:bidi="ar-SA"/>
    </w:rPr>
  </w:style>
  <w:style w:type="paragraph" w:styleId="1428" w:customStyle="1">
    <w:name w:val="font7"/>
    <w:basedOn w:val="1014"/>
    <w:next w:val="1429"/>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429" w:customStyle="1">
    <w:name w:val="Char Char Char Char Char Char1 Char Char Char Char Char Char1 Char Char Char1"/>
    <w:basedOn w:val="1014"/>
    <w:next w:val="1430"/>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430" w:customStyle="1">
    <w:name w:val="xl64"/>
    <w:basedOn w:val="1014"/>
    <w:next w:val="1399"/>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431" w:customStyle="1">
    <w:name w:val="style16"/>
    <w:basedOn w:val="1014"/>
    <w:next w:val="1424"/>
    <w:uiPriority w:val="0"/>
    <w:qFormat/>
    <w:pPr>
      <w:ind w:firstLine="2048"/>
      <w:keepLines w:val="0"/>
      <w:keepNext w:val="0"/>
      <w:spacing w:before="280" w:after="280"/>
    </w:pPr>
    <w:rPr>
      <w:rFonts w:ascii="Times New Roman" w:hAnsi="Times New Roman" w:eastAsia="宋体" w:cs="Times New Roman"/>
      <w:color w:val="auto"/>
      <w:sz w:val="20"/>
      <w:szCs w:val="20"/>
    </w:rPr>
  </w:style>
  <w:style w:type="paragraph" w:styleId="1432" w:customStyle="1">
    <w:name w:val="索引 11"/>
    <w:basedOn w:val="1014"/>
    <w:next w:val="1013"/>
    <w:uiPriority w:val="0"/>
    <w:qFormat/>
    <w:pPr>
      <w:ind w:firstLine="3584"/>
      <w:keepLines w:val="0"/>
      <w:keepNext w:val="0"/>
      <w:spacing w:before="0" w:after="0"/>
    </w:pPr>
    <w:rPr>
      <w:rFonts w:ascii="Times New Roman" w:hAnsi="Times New Roman" w:eastAsia="宋体" w:cs="Times New Roman"/>
      <w:color w:val="auto"/>
      <w:sz w:val="20"/>
      <w:szCs w:val="20"/>
    </w:rPr>
  </w:style>
  <w:style w:type="paragraph" w:styleId="1433" w:customStyle="1">
    <w:name w:val="H 3"/>
    <w:basedOn w:val="1017"/>
    <w:next w:val="1434"/>
    <w:uiPriority w:val="0"/>
    <w:qFormat/>
    <w:pPr>
      <w:ind w:left="1429" w:firstLine="18"/>
      <w:keepLines w:val="0"/>
      <w:keepNext w:val="0"/>
      <w:spacing w:before="0" w:after="0" w:line="360" w:lineRule="auto"/>
      <w:outlineLvl w:val="2"/>
    </w:pPr>
    <w:rPr>
      <w:rFonts w:ascii="Times New Roman" w:hAnsi="Times New Roman" w:cs="Times New Roman"/>
      <w:color w:val="auto"/>
      <w:sz w:val="20"/>
      <w:szCs w:val="20"/>
    </w:rPr>
  </w:style>
  <w:style w:type="paragraph" w:styleId="1434" w:customStyle="1">
    <w:name w:val="xl83"/>
    <w:basedOn w:val="1014"/>
    <w:next w:val="1416"/>
    <w:uiPriority w:val="0"/>
    <w:qFormat/>
    <w:pPr>
      <w:ind w:firstLine="5120"/>
      <w:keepLines w:val="0"/>
      <w:keepNext w:val="0"/>
      <w:spacing w:before="280" w:after="280"/>
    </w:pPr>
    <w:rPr>
      <w:rFonts w:ascii="Times New Roman" w:hAnsi="Times New Roman" w:eastAsia="宋体" w:cs="Times New Roman"/>
      <w:color w:val="auto"/>
      <w:sz w:val="20"/>
      <w:szCs w:val="20"/>
    </w:rPr>
  </w:style>
  <w:style w:type="paragraph" w:styleId="1435" w:customStyle="1">
    <w:name w:val="表格文字（居中）"/>
    <w:basedOn w:val="1014"/>
    <w:next w:val="1431"/>
    <w:uiPriority w:val="0"/>
    <w:qFormat/>
    <w:pPr>
      <w:ind w:firstLine="2560"/>
      <w:jc w:val="center"/>
      <w:keepLines w:val="0"/>
      <w:keepNext w:val="0"/>
      <w:spacing w:before="0" w:after="0" w:line="360" w:lineRule="auto"/>
    </w:pPr>
    <w:rPr>
      <w:rFonts w:ascii="Times New Roman" w:hAnsi="Times New Roman" w:eastAsia="宋体" w:cs="Times New Roman"/>
      <w:color w:val="auto"/>
      <w:sz w:val="20"/>
      <w:szCs w:val="20"/>
    </w:rPr>
  </w:style>
  <w:style w:type="paragraph" w:styleId="1436" w:customStyle="1">
    <w:name w:val="正文首行缩进两字符"/>
    <w:basedOn w:val="1014"/>
    <w:next w:val="1418"/>
    <w:uiPriority w:val="0"/>
    <w:qFormat/>
    <w:pPr>
      <w:ind w:left="200" w:firstLine="3784"/>
      <w:keepLines w:val="0"/>
      <w:keepNext w:val="0"/>
      <w:spacing w:before="0" w:after="0" w:line="360" w:lineRule="auto"/>
    </w:pPr>
    <w:rPr>
      <w:rFonts w:ascii="Times New Roman" w:hAnsi="Times New Roman" w:eastAsia="宋体" w:cs="Times New Roman"/>
      <w:color w:val="auto"/>
      <w:sz w:val="20"/>
      <w:szCs w:val="20"/>
    </w:rPr>
  </w:style>
  <w:style w:type="paragraph" w:styleId="1437" w:customStyle="1">
    <w:name w:val="1"/>
    <w:basedOn w:val="1014"/>
    <w:next w:val="1045"/>
    <w:uiPriority w:val="0"/>
    <w:qFormat/>
    <w:pPr>
      <w:ind w:firstLine="2048"/>
      <w:keepLines w:val="0"/>
      <w:keepNext w:val="0"/>
      <w:spacing w:before="0" w:after="0"/>
    </w:pPr>
    <w:rPr>
      <w:rFonts w:ascii="Times New Roman" w:hAnsi="Times New Roman" w:eastAsia="宋体" w:cs="Times New Roman"/>
      <w:color w:val="auto"/>
      <w:sz w:val="20"/>
      <w:szCs w:val="20"/>
    </w:rPr>
  </w:style>
  <w:style w:type="paragraph" w:styleId="1438" w:customStyle="1">
    <w:name w:val="_Style 398"/>
    <w:basedOn w:val="1014"/>
    <w:next w:val="1013"/>
    <w:uiPriority w:val="0"/>
    <w:qFormat/>
    <w:pPr>
      <w:spacing w:before="240" w:after="0" w:line="259" w:lineRule="auto"/>
      <w:outlineLvl w:val="9"/>
    </w:pPr>
    <w:rPr>
      <w:rFonts w:ascii="Cambria" w:hAnsi="Cambria" w:eastAsia="宋体" w:cs="Times New Roman"/>
      <w:color w:val="365f91"/>
      <w:sz w:val="32"/>
      <w:szCs w:val="32"/>
    </w:rPr>
  </w:style>
  <w:style w:type="paragraph" w:styleId="1439" w:customStyle="1">
    <w:name w:val="Table Paragraph"/>
    <w:basedOn w:val="1013"/>
    <w:uiPriority w:val="1"/>
    <w:qFormat/>
    <w:rPr>
      <w:rFonts w:ascii="宋体" w:hAnsi="宋体"/>
      <w:lang w:val="zh-CN" w:bidi="zh-CN"/>
    </w:rPr>
  </w:style>
  <w:style w:type="paragraph" w:styleId="1440" w:customStyle="1">
    <w:name w:val="_Style 400"/>
    <w:uiPriority w:val="0"/>
    <w:qFormat/>
    <w:rPr>
      <w:rFonts w:ascii="Calibri" w:hAnsi="Calibri" w:eastAsia="宋体" w:cs="宋体"/>
      <w:lang w:val="en-US" w:eastAsia="zh-CN" w:bidi="ar-SA"/>
    </w:rPr>
  </w:style>
  <w:style w:type="paragraph" w:styleId="1441" w:customStyle="1">
    <w:name w:val="Style1"/>
    <w:basedOn w:val="101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442" w:customStyle="1">
    <w:name w:val="msolistparagraph"/>
    <w:basedOn w:val="1014"/>
    <w:next w:val="1309"/>
    <w:uiPriority w:val="0"/>
    <w:qFormat/>
    <w:pPr>
      <w:ind w:left="420" w:firstLine="3748"/>
      <w:keepLines w:val="0"/>
      <w:keepNext w:val="0"/>
      <w:spacing w:before="0" w:after="0"/>
    </w:pPr>
    <w:rPr>
      <w:rFonts w:ascii="Times New Roman" w:hAnsi="Times New Roman" w:eastAsia="宋体" w:cs="Times New Roman"/>
      <w:color w:val="auto"/>
      <w:sz w:val="20"/>
      <w:szCs w:val="20"/>
    </w:rPr>
  </w:style>
  <w:style w:type="paragraph" w:styleId="1443" w:customStyle="1">
    <w:name w:val="Char1 Char Char Char"/>
    <w:basedOn w:val="1014"/>
    <w:next w:val="1444"/>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444" w:customStyle="1">
    <w:name w:val="xl24"/>
    <w:basedOn w:val="1014"/>
    <w:next w:val="1391"/>
    <w:uiPriority w:val="0"/>
    <w:qFormat/>
    <w:pPr>
      <w:ind w:firstLine="20"/>
      <w:jc w:val="center"/>
      <w:keepLines w:val="0"/>
      <w:keepNext w:val="0"/>
      <w:spacing w:before="280" w:after="280"/>
      <w:shd w:val="clear" w:color="000000" w:fill="ffffff"/>
    </w:pPr>
    <w:rPr>
      <w:rFonts w:ascii="Times New Roman" w:hAnsi="Times New Roman" w:eastAsia="宋体" w:cs="Times New Roman"/>
      <w:color w:val="auto"/>
      <w:sz w:val="20"/>
      <w:szCs w:val="20"/>
    </w:rPr>
  </w:style>
  <w:style w:type="paragraph" w:styleId="1445" w:customStyle="1">
    <w:name w:val="表格文字"/>
    <w:next w:val="1405"/>
    <w:uiPriority w:val="0"/>
    <w:qFormat/>
    <w:pPr>
      <w:ind w:firstLine="3584"/>
    </w:pPr>
    <w:rPr>
      <w:rFonts w:ascii="Calibri" w:hAnsi="Calibri" w:eastAsia="宋体" w:cs="宋体"/>
      <w:lang w:val="en-US" w:eastAsia="zh-CN" w:bidi="ar-SA"/>
    </w:rPr>
  </w:style>
  <w:style w:type="paragraph" w:styleId="1446" w:customStyle="1">
    <w:name w:val="xl72"/>
    <w:basedOn w:val="1014"/>
    <w:next w:val="1304"/>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447" w:customStyle="1">
    <w:name w:val="插图"/>
    <w:next w:val="1013"/>
    <w:uiPriority w:val="0"/>
    <w:qFormat/>
    <w:pPr>
      <w:ind w:firstLine="4608"/>
      <w:jc w:val="center"/>
    </w:pPr>
    <w:rPr>
      <w:rFonts w:ascii="Calibri" w:hAnsi="Calibri" w:eastAsia="宋体" w:cs="宋体"/>
      <w:lang w:val="en-US" w:eastAsia="zh-CN" w:bidi="ar-SA"/>
    </w:rPr>
  </w:style>
  <w:style w:type="paragraph" w:styleId="1448" w:customStyle="1">
    <w:name w:val="列出段落3"/>
    <w:basedOn w:val="1014"/>
    <w:next w:val="1344"/>
    <w:uiPriority w:val="0"/>
    <w:qFormat/>
    <w:pPr>
      <w:ind w:left="420" w:firstLine="3748"/>
      <w:keepLines w:val="0"/>
      <w:keepNext w:val="0"/>
      <w:spacing w:before="0" w:after="0"/>
    </w:pPr>
    <w:rPr>
      <w:rFonts w:ascii="Times New Roman" w:hAnsi="Times New Roman" w:eastAsia="宋体" w:cs="Times New Roman"/>
      <w:color w:val="auto"/>
      <w:sz w:val="20"/>
      <w:szCs w:val="20"/>
    </w:rPr>
  </w:style>
  <w:style w:type="paragraph" w:styleId="1449" w:customStyle="1">
    <w:name w:val="目录标题"/>
    <w:basedOn w:val="1014"/>
    <w:next w:val="1013"/>
    <w:uiPriority w:val="0"/>
    <w:qFormat/>
    <w:pPr>
      <w:ind w:left="419" w:firstLine="7331"/>
      <w:jc w:val="center"/>
      <w:keepLines w:val="0"/>
      <w:keepNext w:val="0"/>
      <w:spacing w:before="566" w:after="544" w:line="566" w:lineRule="atLeast"/>
    </w:pPr>
    <w:rPr>
      <w:rFonts w:ascii="Times New Roman" w:hAnsi="Times New Roman" w:eastAsia="宋体" w:cs="Times New Roman"/>
      <w:color w:val="auto"/>
      <w:sz w:val="20"/>
      <w:szCs w:val="20"/>
    </w:rPr>
  </w:style>
  <w:style w:type="paragraph" w:styleId="1450" w:customStyle="1">
    <w:name w:val="默认段落字体 Para Char Char Char Char Char Char Char Char Char1 Char Char Char Char"/>
    <w:basedOn w:val="1014"/>
    <w:next w:val="1347"/>
    <w:uiPriority w:val="0"/>
    <w:qFormat/>
    <w:pPr>
      <w:ind w:firstLine="2560"/>
      <w:keepLines w:val="0"/>
      <w:keepNext w:val="0"/>
      <w:spacing w:before="0" w:after="0"/>
    </w:pPr>
    <w:rPr>
      <w:rFonts w:ascii="Times New Roman" w:hAnsi="Times New Roman" w:eastAsia="宋体" w:cs="Times New Roman"/>
      <w:color w:val="auto"/>
      <w:sz w:val="20"/>
      <w:szCs w:val="20"/>
    </w:rPr>
  </w:style>
  <w:style w:type="paragraph" w:styleId="1451" w:customStyle="1">
    <w:name w:val="WPSOffice手动目录 2"/>
    <w:uiPriority w:val="0"/>
    <w:qFormat/>
    <w:pPr>
      <w:ind w:left="200"/>
    </w:pPr>
    <w:rPr>
      <w:rFonts w:ascii="宋体" w:hAnsi="宋体" w:eastAsia="宋体" w:cs="宋体"/>
      <w:lang w:val="en-US" w:eastAsia="zh-CN" w:bidi="ar-SA"/>
    </w:rPr>
  </w:style>
  <w:style w:type="paragraph" w:styleId="1452" w:customStyle="1">
    <w:name w:val="表内文字"/>
    <w:basedOn w:val="1014"/>
    <w:next w:val="1053"/>
    <w:uiPriority w:val="0"/>
    <w:qFormat/>
    <w:pPr>
      <w:ind w:firstLine="7680"/>
      <w:jc w:val="center"/>
      <w:keepLines w:val="0"/>
      <w:keepNext w:val="0"/>
      <w:spacing w:before="50" w:after="50"/>
    </w:pPr>
    <w:rPr>
      <w:rFonts w:ascii="Times New Roman" w:hAnsi="Times New Roman" w:eastAsia="宋体" w:cs="Times New Roman"/>
      <w:color w:val="auto"/>
      <w:sz w:val="20"/>
      <w:szCs w:val="20"/>
    </w:rPr>
  </w:style>
  <w:style w:type="paragraph" w:styleId="1453" w:customStyle="1">
    <w:name w:val="xl66"/>
    <w:basedOn w:val="1014"/>
    <w:next w:val="1435"/>
    <w:uiPriority w:val="0"/>
    <w:qFormat/>
    <w:pPr>
      <w:ind w:firstLine="3584"/>
      <w:keepLines w:val="0"/>
      <w:keepNext w:val="0"/>
      <w:spacing w:before="280" w:after="280"/>
    </w:pPr>
    <w:rPr>
      <w:rFonts w:ascii="Times New Roman" w:hAnsi="Times New Roman" w:eastAsia="宋体" w:cs="Times New Roman"/>
      <w:color w:val="auto"/>
      <w:sz w:val="20"/>
      <w:szCs w:val="20"/>
    </w:rPr>
  </w:style>
  <w:style w:type="paragraph" w:styleId="1454" w:customStyle="1">
    <w:name w:val="*正文"/>
    <w:basedOn w:val="1013"/>
    <w:uiPriority w:val="0"/>
    <w:qFormat/>
    <w:pPr>
      <w:ind w:left="0" w:firstLine="200"/>
      <w:spacing w:line="360" w:lineRule="auto"/>
    </w:pPr>
    <w:rPr>
      <w:rFonts w:ascii="仿宋_GB2312" w:hAnsi="Times New Roman" w:eastAsia="仿宋_GB2312" w:cs="Times New Roman"/>
      <w:sz w:val="24"/>
      <w:szCs w:val="28"/>
    </w:rPr>
  </w:style>
  <w:style w:type="paragraph" w:styleId="1455" w:customStyle="1">
    <w:name w:val="0"/>
    <w:basedOn w:val="1014"/>
    <w:next w:val="1350"/>
    <w:uiPriority w:val="0"/>
    <w:qFormat/>
    <w:pPr>
      <w:ind w:firstLine="2815"/>
      <w:keepLines w:val="0"/>
      <w:keepNext w:val="0"/>
      <w:spacing w:before="0" w:after="0" w:line="360" w:lineRule="auto"/>
    </w:pPr>
    <w:rPr>
      <w:rFonts w:ascii="Times New Roman" w:hAnsi="Times New Roman" w:eastAsia="宋体" w:cs="Times New Roman"/>
      <w:color w:val="auto"/>
      <w:sz w:val="20"/>
      <w:szCs w:val="20"/>
    </w:rPr>
  </w:style>
  <w:style w:type="table" w:styleId="1456" w:customStyle="1">
    <w:name w:val="网格型1"/>
    <w:basedOn w:val="1024"/>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7" w:customStyle="1">
    <w:name w:val="font61"/>
    <w:uiPriority w:val="0"/>
    <w:qFormat/>
    <w:rPr>
      <w:rFonts w:hint="default" w:ascii="Times New Roman" w:hAnsi="Times New Roman" w:cs="Times New Roman"/>
      <w:b/>
      <w:bCs/>
      <w:color w:val="000000"/>
      <w:sz w:val="24"/>
      <w:szCs w:val="24"/>
      <w:u w:val="none"/>
    </w:rPr>
  </w:style>
  <w:style w:type="character" w:styleId="1458" w:customStyle="1">
    <w:name w:val="font31"/>
    <w:basedOn w:val="1023"/>
    <w:uiPriority w:val="0"/>
    <w:qFormat/>
    <w:rPr>
      <w:rFonts w:hint="eastAsia" w:ascii="宋体" w:hAnsi="宋体" w:eastAsia="宋体" w:cs="宋体"/>
      <w:color w:val="000000"/>
      <w:sz w:val="21"/>
      <w:szCs w:val="21"/>
      <w:u w:val="none"/>
    </w:rPr>
  </w:style>
  <w:style w:type="character" w:styleId="1459" w:customStyle="1">
    <w:name w:val="font41"/>
    <w:basedOn w:val="1023"/>
    <w:uiPriority w:val="0"/>
    <w:qFormat/>
    <w:rPr>
      <w:rFonts w:hint="eastAsia" w:ascii="仿宋_GB2312" w:eastAsia="仿宋_GB2312" w:cs="仿宋_GB2312"/>
      <w:color w:val="000000"/>
      <w:sz w:val="21"/>
      <w:szCs w:val="21"/>
      <w:u w:val="none"/>
    </w:rPr>
  </w:style>
  <w:style w:type="character" w:styleId="1460" w:customStyle="1">
    <w:name w:val="font51"/>
    <w:basedOn w:val="1023"/>
    <w:uiPriority w:val="0"/>
    <w:qFormat/>
    <w:rPr>
      <w:rFonts w:ascii="等线" w:hAnsi="等线" w:eastAsia="等线" w:cs="等线"/>
      <w:color w:val="000000"/>
      <w:sz w:val="21"/>
      <w:szCs w:val="21"/>
      <w:u w:val="none"/>
    </w:rPr>
  </w:style>
  <w:style w:type="table" w:styleId="1461" w:customStyle="1">
    <w:name w:val="Table Normal"/>
    <w:uiPriority w:val="0"/>
    <w:semiHidden/>
    <w:unhideWhenUsed/>
    <w:qFormat/>
    <w:rPr>
      <w:rFonts w:ascii="Calibri" w:hAnsi="Calibri" w:eastAsia="宋体" w:cs="Calibri"/>
    </w:rPr>
    <w:tblPr>
      <w:tblCellMar>
        <w:left w:w="0" w:type="dxa"/>
        <w:top w:w="0" w:type="dxa"/>
        <w:right w:w="0" w:type="dxa"/>
        <w:bottom w:w="0" w:type="dxa"/>
      </w:tblCellMar>
    </w:tblPr>
  </w:style>
  <w:style w:type="paragraph" w:styleId="1462" w:customStyle="1">
    <w:name w:val="修订3"/>
    <w:hidden/>
    <w:uiPriority w:val="99"/>
    <w:semiHidden/>
    <w:qFormat/>
    <w:rPr>
      <w:rFonts w:ascii="Calibri" w:hAnsi="Calibri" w:eastAsia="宋体" w:cs="宋体"/>
      <w:lang w:val="en-US" w:eastAsia="zh-CN" w:bidi="ar-SA"/>
    </w:rPr>
  </w:style>
  <w:style w:type="numbering" w:styleId="14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谷工</cp:lastModifiedBy>
  <cp:revision>15</cp:revision>
  <dcterms:created xsi:type="dcterms:W3CDTF">2025-12-26T05:02:00Z</dcterms:created>
  <dcterms:modified xsi:type="dcterms:W3CDTF">2026-01-05T01:39:35Z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eyJoZGlkIjoiNGIwMmUyODgwZTQxMjlhYTA3ZTY0MmI2YTJkZmIwMGQiLCJ1c2VySWQiOiI0NzYzODQyODIifQ==</vt:lpwstr>
  </property>
  <property fmtid="{D5CDD505-2E9C-101B-9397-08002B2CF9AE}" pid="3" name="KSOProductBuildVer">
    <vt:lpwstr>2052-12.1.0.24034</vt:lpwstr>
  </property>
  <property fmtid="{D5CDD505-2E9C-101B-9397-08002B2CF9AE}" pid="4" name="ICV">
    <vt:lpwstr>05A32DC2A0B548938037AC7CC5446087_12</vt:lpwstr>
  </property>
</Properties>
</file>